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A46" w:rsidRPr="003D0A56" w:rsidRDefault="005B2A46" w:rsidP="005B2A46">
      <w:pPr>
        <w:ind w:left="1985" w:right="1133"/>
        <w:jc w:val="both"/>
        <w:rPr>
          <w:rFonts w:ascii="Tahoma" w:hAnsi="Tahoma" w:cs="Tahoma"/>
          <w:i/>
          <w:sz w:val="20"/>
          <w:szCs w:val="20"/>
        </w:rPr>
      </w:pPr>
      <w:r w:rsidRPr="003D0A56">
        <w:rPr>
          <w:rFonts w:ascii="Tahoma" w:hAnsi="Tahoma" w:cs="Tahoma"/>
          <w:b/>
          <w:i/>
          <w:sz w:val="20"/>
          <w:szCs w:val="20"/>
        </w:rPr>
        <w:t>Sumilla:</w:t>
      </w:r>
      <w:r w:rsidRPr="003D0A56">
        <w:rPr>
          <w:rFonts w:ascii="Tahoma" w:hAnsi="Tahoma" w:cs="Tahoma"/>
          <w:i/>
          <w:sz w:val="20"/>
          <w:szCs w:val="20"/>
        </w:rPr>
        <w:t xml:space="preserve"> </w:t>
      </w:r>
      <w:r w:rsidR="003D0A56">
        <w:rPr>
          <w:rFonts w:ascii="Tahoma" w:hAnsi="Tahoma" w:cs="Tahoma"/>
          <w:i/>
          <w:sz w:val="20"/>
          <w:szCs w:val="20"/>
        </w:rPr>
        <w:t xml:space="preserve">“Corresponde declarar no ha lugar la solicitud de nulidad planteada por afectar el derecho de las partes al uso de la palabra en audiencia </w:t>
      </w:r>
      <w:r w:rsidR="00155C47">
        <w:rPr>
          <w:rFonts w:ascii="Tahoma" w:hAnsi="Tahoma" w:cs="Tahoma"/>
          <w:i/>
          <w:sz w:val="20"/>
          <w:szCs w:val="20"/>
        </w:rPr>
        <w:t>pública</w:t>
      </w:r>
      <w:r w:rsidR="003D0A56">
        <w:rPr>
          <w:rFonts w:ascii="Tahoma" w:hAnsi="Tahoma" w:cs="Tahoma"/>
          <w:i/>
          <w:sz w:val="20"/>
          <w:szCs w:val="20"/>
        </w:rPr>
        <w:t xml:space="preserve"> </w:t>
      </w:r>
      <w:r w:rsidR="00155C47">
        <w:rPr>
          <w:rFonts w:ascii="Tahoma" w:hAnsi="Tahoma" w:cs="Tahoma"/>
          <w:i/>
          <w:sz w:val="20"/>
          <w:szCs w:val="20"/>
        </w:rPr>
        <w:t>cuando esta le fue otorgada hasta en dos oportunidades y no se presentó a dicha audiencia”</w:t>
      </w:r>
    </w:p>
    <w:p w:rsidR="005B2A46" w:rsidRPr="003D0A56" w:rsidRDefault="005B2A46" w:rsidP="005B2A46">
      <w:pPr>
        <w:pStyle w:val="Textoindependiente3"/>
        <w:spacing w:after="0"/>
        <w:rPr>
          <w:rFonts w:ascii="Tahoma" w:hAnsi="Tahoma" w:cs="Tahoma"/>
          <w:i/>
          <w:sz w:val="20"/>
          <w:szCs w:val="20"/>
          <w:lang w:val="es-ES"/>
        </w:rPr>
      </w:pPr>
    </w:p>
    <w:p w:rsidR="005B2A46" w:rsidRPr="003D0A56" w:rsidRDefault="005B2A46" w:rsidP="005B2A46">
      <w:pPr>
        <w:pStyle w:val="Textoindependiente3"/>
        <w:spacing w:after="0"/>
        <w:ind w:left="5387"/>
        <w:jc w:val="both"/>
        <w:rPr>
          <w:rFonts w:ascii="Tahoma" w:hAnsi="Tahoma" w:cs="Tahoma"/>
          <w:b/>
          <w:sz w:val="20"/>
          <w:szCs w:val="20"/>
        </w:rPr>
      </w:pPr>
      <w:r w:rsidRPr="003D0A56">
        <w:rPr>
          <w:rFonts w:ascii="Tahoma" w:hAnsi="Tahoma" w:cs="Tahoma"/>
          <w:b/>
          <w:sz w:val="20"/>
          <w:szCs w:val="20"/>
        </w:rPr>
        <w:t>Lima,</w:t>
      </w:r>
      <w:r w:rsidR="002E271C">
        <w:rPr>
          <w:rFonts w:ascii="Tahoma" w:hAnsi="Tahoma" w:cs="Tahoma"/>
          <w:b/>
          <w:sz w:val="20"/>
          <w:szCs w:val="20"/>
        </w:rPr>
        <w:t xml:space="preserve"> 07 de Julio de 2011</w:t>
      </w:r>
    </w:p>
    <w:p w:rsidR="005B2A46" w:rsidRPr="003D0A56" w:rsidRDefault="005B2A46" w:rsidP="005B2A46">
      <w:pPr>
        <w:pStyle w:val="Textoindependiente3"/>
        <w:spacing w:after="0"/>
        <w:ind w:left="5387"/>
        <w:jc w:val="both"/>
        <w:rPr>
          <w:rFonts w:ascii="Tahoma" w:hAnsi="Tahoma" w:cs="Tahoma"/>
          <w:b/>
          <w:sz w:val="20"/>
          <w:szCs w:val="20"/>
        </w:rPr>
      </w:pPr>
    </w:p>
    <w:p w:rsidR="005B2A46" w:rsidRPr="003D0A56" w:rsidRDefault="005B2A46" w:rsidP="003D0A56">
      <w:pPr>
        <w:ind w:left="567"/>
        <w:contextualSpacing/>
        <w:jc w:val="both"/>
        <w:rPr>
          <w:rFonts w:ascii="Tahoma" w:hAnsi="Tahoma" w:cs="Tahoma"/>
          <w:sz w:val="20"/>
          <w:szCs w:val="20"/>
        </w:rPr>
      </w:pPr>
      <w:r w:rsidRPr="003D0A56">
        <w:rPr>
          <w:rFonts w:ascii="Tahoma" w:hAnsi="Tahoma" w:cs="Tahoma"/>
          <w:b/>
          <w:sz w:val="20"/>
          <w:szCs w:val="20"/>
        </w:rPr>
        <w:t xml:space="preserve">Visto </w:t>
      </w:r>
      <w:r w:rsidRPr="003D0A56">
        <w:rPr>
          <w:rFonts w:ascii="Tahoma" w:hAnsi="Tahoma" w:cs="Tahoma"/>
          <w:sz w:val="20"/>
          <w:szCs w:val="20"/>
        </w:rPr>
        <w:t>en sesión de fecha 06 de julio de 2011, la Primera Sala del Tribunal de Contrataciones del Estado el Expediente N° 1376-2010-TC; sobre la sanción impuesta a la empresa Metro Security and Services SRLtda, a través la Resolución Nº 781-2011-</w:t>
      </w:r>
      <w:r w:rsidR="006F1524">
        <w:rPr>
          <w:rFonts w:ascii="Tahoma" w:hAnsi="Tahoma" w:cs="Tahoma"/>
          <w:sz w:val="20"/>
          <w:szCs w:val="20"/>
        </w:rPr>
        <w:t>TC-</w:t>
      </w:r>
      <w:r w:rsidRPr="003D0A56">
        <w:rPr>
          <w:rFonts w:ascii="Tahoma" w:hAnsi="Tahoma" w:cs="Tahoma"/>
          <w:sz w:val="20"/>
          <w:szCs w:val="20"/>
        </w:rPr>
        <w:t>S1 por haber dado lugar a la resolución del contrato Nº C.GG.155/2007-EGASA, de fecha 20.12.2007 en el proceso de selección de Concurso Público Nº 0006-2007-EGASA para prestar el servicio de seguridad y vigilancia y en atención a la solicitud de nulidad planteada por la empresa mencionada contra la Resolución Nº 998-2011-TC-S1 que declaro infundado el recurso de reconsideración interpuesto contra la Resolución Nº 781-2011-</w:t>
      </w:r>
      <w:r w:rsidR="006F1524">
        <w:rPr>
          <w:rFonts w:ascii="Tahoma" w:hAnsi="Tahoma" w:cs="Tahoma"/>
          <w:sz w:val="20"/>
          <w:szCs w:val="20"/>
        </w:rPr>
        <w:t>TC-</w:t>
      </w:r>
      <w:r w:rsidRPr="003D0A56">
        <w:rPr>
          <w:rFonts w:ascii="Tahoma" w:hAnsi="Tahoma" w:cs="Tahoma"/>
          <w:sz w:val="20"/>
          <w:szCs w:val="20"/>
        </w:rPr>
        <w:t>S1 y a los siguientes:</w:t>
      </w:r>
    </w:p>
    <w:p w:rsidR="005B2A46" w:rsidRPr="003D0A56" w:rsidRDefault="005B2A46" w:rsidP="005B2A46">
      <w:pPr>
        <w:contextualSpacing/>
        <w:jc w:val="both"/>
        <w:rPr>
          <w:rFonts w:ascii="Tahoma" w:hAnsi="Tahoma" w:cs="Tahoma"/>
          <w:b/>
          <w:sz w:val="20"/>
          <w:szCs w:val="20"/>
          <w:lang w:val="es-ES_tradnl"/>
        </w:rPr>
      </w:pPr>
    </w:p>
    <w:p w:rsidR="005B2A46" w:rsidRPr="003D0A56" w:rsidRDefault="005B2A46" w:rsidP="005B2A46">
      <w:pPr>
        <w:pStyle w:val="Prrafodelista"/>
        <w:ind w:left="567"/>
        <w:rPr>
          <w:rFonts w:ascii="Tahoma" w:hAnsi="Tahoma" w:cs="Tahoma"/>
          <w:b/>
          <w:sz w:val="20"/>
        </w:rPr>
      </w:pPr>
      <w:r w:rsidRPr="003D0A56">
        <w:rPr>
          <w:rFonts w:ascii="Tahoma" w:hAnsi="Tahoma" w:cs="Tahoma"/>
          <w:b/>
          <w:sz w:val="20"/>
        </w:rPr>
        <w:t>ANTECEDENTES:</w:t>
      </w:r>
    </w:p>
    <w:p w:rsidR="005B2A46" w:rsidRPr="003D0A56" w:rsidRDefault="005B2A46" w:rsidP="005B2A46">
      <w:pPr>
        <w:jc w:val="both"/>
        <w:rPr>
          <w:rFonts w:ascii="Tahoma" w:hAnsi="Tahoma" w:cs="Tahoma"/>
          <w:b/>
          <w:sz w:val="20"/>
          <w:szCs w:val="20"/>
          <w:lang w:eastAsia="es-PE"/>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 xml:space="preserve">El 20 de diciembre de 2007, la Empresa de Generación Eléctrica de Arequipa S.A. EGASA, en adelante la Entidad, y la empresa Metro Security and Services SRLtda, en lo sucesivo, la Contratista, suscribieron el Contrato Nº C.GG.155/2007-EGASA, de fecha 20.12.2007, en adelante, el Contrato, a fin que la Contratista preste el servicio de seguridad y vigilancia en sus instalaciones desde el 21 de diciembre de 2007 hasta el 20 de diciembre de 2008, en virtud del proceso de Concurso Público Nº 0006-2007-EGASA, por un valor referencial ascendente a </w:t>
      </w:r>
      <w:r w:rsidRPr="003D0A56">
        <w:rPr>
          <w:rFonts w:ascii="Tahoma" w:hAnsi="Tahoma" w:cs="Tahoma"/>
          <w:bCs/>
          <w:sz w:val="20"/>
        </w:rPr>
        <w:t>S/. 1’240,895.64 (Un millón doscientos cuarenta mil ochocientos noventa y cinco con 64/100 Nuevos Soles)</w:t>
      </w:r>
      <w:r w:rsidRPr="003D0A56">
        <w:rPr>
          <w:rFonts w:ascii="Tahoma" w:hAnsi="Tahoma" w:cs="Tahoma"/>
          <w:sz w:val="20"/>
        </w:rPr>
        <w:t>, incluido los impuesto de Ley.</w:t>
      </w:r>
    </w:p>
    <w:p w:rsidR="005B2A46" w:rsidRPr="003D0A56" w:rsidRDefault="005B2A46" w:rsidP="005B2A46">
      <w:pPr>
        <w:pStyle w:val="Prrafodelista"/>
        <w:ind w:left="567"/>
        <w:contextualSpacing/>
        <w:jc w:val="both"/>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Con fecha 21 de julio de 2008 la Entidad remitió a la Contratista la Carta Notarial Nº GG-544/2008-EGASA requiriendo el cumplimiento de sus obligaciones contractuales señalando:</w:t>
      </w:r>
    </w:p>
    <w:p w:rsidR="005B2A46" w:rsidRPr="003D0A56" w:rsidRDefault="005B2A46" w:rsidP="005B2A46">
      <w:pPr>
        <w:pStyle w:val="Prrafodelista"/>
        <w:rPr>
          <w:rFonts w:ascii="Tahoma" w:hAnsi="Tahoma" w:cs="Tahoma"/>
          <w:sz w:val="20"/>
        </w:rPr>
      </w:pPr>
    </w:p>
    <w:p w:rsidR="005B2A46" w:rsidRPr="003D0A56" w:rsidRDefault="005B2A46" w:rsidP="005B2A46">
      <w:pPr>
        <w:pStyle w:val="Prrafodelista"/>
        <w:ind w:left="567"/>
        <w:contextualSpacing/>
        <w:jc w:val="both"/>
        <w:rPr>
          <w:rFonts w:ascii="Tahoma" w:hAnsi="Tahoma" w:cs="Tahoma"/>
          <w:i/>
          <w:sz w:val="20"/>
        </w:rPr>
      </w:pPr>
      <w:r w:rsidRPr="003D0A56">
        <w:rPr>
          <w:rFonts w:ascii="Tahoma" w:hAnsi="Tahoma" w:cs="Tahoma"/>
          <w:i/>
          <w:sz w:val="20"/>
        </w:rPr>
        <w:t>“Nos dirigimos a usted con la finalidad de requerirle el cumplimiento de sus obligaciones contractuales, como es el caso del pago de las remuneraciones (inclusive adelantos) y demás beneficios sociales en la forma, plazos y condiciones establecidas en las bases integradas del proceso de selección Concurso Público Nº 0006-2007-EGASA, el Pronunciamiento Nº 286-2007/DOP emitido por CONSUCODE, y el contrato de la referencia, es decir mediante depósitos bancarios.</w:t>
      </w:r>
    </w:p>
    <w:p w:rsidR="005B2A46" w:rsidRPr="003D0A56" w:rsidRDefault="005B2A46" w:rsidP="005B2A46">
      <w:pPr>
        <w:pStyle w:val="Prrafodelista"/>
        <w:ind w:left="567"/>
        <w:contextualSpacing/>
        <w:jc w:val="both"/>
        <w:rPr>
          <w:rFonts w:ascii="Tahoma" w:hAnsi="Tahoma" w:cs="Tahoma"/>
          <w:i/>
          <w:sz w:val="20"/>
        </w:rPr>
      </w:pPr>
    </w:p>
    <w:p w:rsidR="005B2A46" w:rsidRPr="003D0A56" w:rsidRDefault="005B2A46" w:rsidP="005B2A46">
      <w:pPr>
        <w:pStyle w:val="Prrafodelista"/>
        <w:ind w:left="567"/>
        <w:contextualSpacing/>
        <w:jc w:val="both"/>
        <w:rPr>
          <w:rFonts w:ascii="Tahoma" w:hAnsi="Tahoma" w:cs="Tahoma"/>
          <w:i/>
          <w:sz w:val="20"/>
        </w:rPr>
      </w:pPr>
      <w:r w:rsidRPr="003D0A56">
        <w:rPr>
          <w:rFonts w:ascii="Tahoma" w:hAnsi="Tahoma" w:cs="Tahoma"/>
          <w:i/>
          <w:sz w:val="20"/>
        </w:rPr>
        <w:t>En ese sentido, y de conformidad con lo establecido en el artículo 226 del Reglamento del Texto Único Ordenado de la Ley de Contrataciones y Adquisiciones del Estado, aprobado por Decreto Supremo Nº 084-2004-PCM, lo requerimos para que en el plazo máximo de un (1) día calendario cumpla con presentar los cupones de los depósitos bancarios que sustenten el pago oportuno de dichos conceptos, conforme al numeral 13.6 de la clausula decimotercera (resolución por causa del contratista) y a la estructura de costos presentada por su representada como sustento de su facturación mensual, básicamente remuneraciones del mes de junio y gratificación por fiestas patrias, bajo apercibimiento de resolver el contrato.”</w:t>
      </w:r>
    </w:p>
    <w:p w:rsidR="005B2A46" w:rsidRPr="003D0A56" w:rsidRDefault="005B2A46" w:rsidP="005B2A46">
      <w:pPr>
        <w:contextualSpacing/>
        <w:jc w:val="both"/>
        <w:rPr>
          <w:rFonts w:ascii="Tahoma" w:hAnsi="Tahoma" w:cs="Tahoma"/>
          <w:sz w:val="20"/>
          <w:szCs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lastRenderedPageBreak/>
        <w:t>El 23 de julio de 2008 la Entidad remitió a la Contratista la Carta Notarial Nº GG-550/2008-EGASA de resolución del contrato señalando lo siguiente:</w:t>
      </w:r>
    </w:p>
    <w:p w:rsidR="005B2A46" w:rsidRPr="003D0A56" w:rsidRDefault="005B2A46" w:rsidP="005B2A46">
      <w:pPr>
        <w:pStyle w:val="Prrafodelista"/>
        <w:ind w:left="567"/>
        <w:contextualSpacing/>
        <w:jc w:val="both"/>
        <w:rPr>
          <w:rFonts w:ascii="Tahoma" w:hAnsi="Tahoma" w:cs="Tahoma"/>
          <w:sz w:val="20"/>
        </w:rPr>
      </w:pPr>
    </w:p>
    <w:p w:rsidR="005B2A46" w:rsidRPr="003D0A56" w:rsidRDefault="005B2A46" w:rsidP="005B2A46">
      <w:pPr>
        <w:pStyle w:val="Prrafodelista"/>
        <w:ind w:left="567"/>
        <w:contextualSpacing/>
        <w:jc w:val="both"/>
        <w:rPr>
          <w:rFonts w:ascii="Tahoma" w:hAnsi="Tahoma" w:cs="Tahoma"/>
          <w:i/>
          <w:sz w:val="20"/>
        </w:rPr>
      </w:pPr>
      <w:r w:rsidRPr="003D0A56">
        <w:rPr>
          <w:rFonts w:ascii="Tahoma" w:hAnsi="Tahoma" w:cs="Tahoma"/>
          <w:i/>
          <w:sz w:val="20"/>
        </w:rPr>
        <w:t>“Nos dirigimos a usted en relación al contrato de la referencia, para indicarle que mediante Carta Notarial Nº GG-544/2008-EGASA de fecha 21 de julio de 2008 se le requirió conforme a los establecido en el artículo 226º del Reglamento del Texto Único Ordenado de la Ley de Contrataciones y Adquisiciones del Estado, cumpla con presentar los cupones de los depósitos bancarios que sustenten el abono oportuno de sus obligaciones contractuales de pago de remuneraciones y demás beneficios sociales/inclusive adelantos) en la forma, plazo y condiciones establecidas en el Contrato referido, en las Bases Integradas, y en el Pronunciamiento Nº 286-2007/DOP emitido por CONSUCODE, que corresponden básicamente a remuneraciones del mes de junio y gratificaciones por fiestas patrias del personal de vigilancia, otorgándole para el efecto plazo de un (1) día calendario, bajo apercibimiento de resolver el contrato.</w:t>
      </w:r>
    </w:p>
    <w:p w:rsidR="005B2A46" w:rsidRPr="003D0A56" w:rsidRDefault="005B2A46" w:rsidP="005B2A46">
      <w:pPr>
        <w:pStyle w:val="Prrafodelista"/>
        <w:ind w:left="567"/>
        <w:contextualSpacing/>
        <w:jc w:val="both"/>
        <w:rPr>
          <w:rFonts w:ascii="Tahoma" w:hAnsi="Tahoma" w:cs="Tahoma"/>
          <w:i/>
          <w:sz w:val="20"/>
        </w:rPr>
      </w:pPr>
    </w:p>
    <w:p w:rsidR="005B2A46" w:rsidRPr="003D0A56" w:rsidRDefault="005B2A46" w:rsidP="005B2A46">
      <w:pPr>
        <w:pStyle w:val="Prrafodelista"/>
        <w:ind w:left="567"/>
        <w:contextualSpacing/>
        <w:jc w:val="both"/>
        <w:rPr>
          <w:rFonts w:ascii="Tahoma" w:hAnsi="Tahoma" w:cs="Tahoma"/>
          <w:i/>
          <w:sz w:val="20"/>
        </w:rPr>
      </w:pPr>
      <w:r w:rsidRPr="003D0A56">
        <w:rPr>
          <w:rFonts w:ascii="Tahoma" w:hAnsi="Tahoma" w:cs="Tahoma"/>
          <w:i/>
          <w:sz w:val="20"/>
        </w:rPr>
        <w:t>Mediante Carta Nº 401-08-MSA/GG recibida el 22 de julio de 2008, su representada nos remite copia de las ordenes emitidas al Banco Continental para el depósito de haberes correspondientes al mes de junio y gratificaciones por Fiestas Patrias del personal de vigilancia, de las que puede advertirse impuntualidad de pago, no habiendo cumplido con adjuntar el pago que corresponde al concepto de adelanto de remuneraciones, manifestando adicionalmente que los adelantos no pueden ser realizados mediante depósito bancario, ya que estos provienen de hechos fortuitos y su exigencia no tiene asidero legal alguno.</w:t>
      </w:r>
    </w:p>
    <w:p w:rsidR="005B2A46" w:rsidRPr="003D0A56" w:rsidRDefault="005B2A46" w:rsidP="005B2A46">
      <w:pPr>
        <w:pStyle w:val="Prrafodelista"/>
        <w:ind w:left="567"/>
        <w:contextualSpacing/>
        <w:jc w:val="both"/>
        <w:rPr>
          <w:rFonts w:ascii="Tahoma" w:hAnsi="Tahoma" w:cs="Tahoma"/>
          <w:i/>
          <w:sz w:val="20"/>
        </w:rPr>
      </w:pPr>
    </w:p>
    <w:p w:rsidR="005B2A46" w:rsidRPr="003D0A56" w:rsidRDefault="005B2A46" w:rsidP="005B2A46">
      <w:pPr>
        <w:pStyle w:val="Prrafodelista"/>
        <w:ind w:left="567"/>
        <w:contextualSpacing/>
        <w:jc w:val="both"/>
        <w:rPr>
          <w:rFonts w:ascii="Tahoma" w:hAnsi="Tahoma" w:cs="Tahoma"/>
          <w:i/>
          <w:sz w:val="20"/>
        </w:rPr>
      </w:pPr>
      <w:r w:rsidRPr="003D0A56">
        <w:rPr>
          <w:rFonts w:ascii="Tahoma" w:hAnsi="Tahoma" w:cs="Tahoma"/>
          <w:i/>
          <w:sz w:val="20"/>
        </w:rPr>
        <w:t>El artículo 24 de la Constitución Política del Perú establece que el trabajador tiene derecho a una remuneración equitativa y suficiente, que procure para él y su familia, el bienestar material y espiritual, y su pago tiene prioridad sobre cualquier otra obligación del empleador. En ese sentido, la remuneración para el personal de vigilancia ha sido fijada a través de la estructura de costos presentada por Metro Security and Services SRLtda. en la Propuesta Técnica y con la que resultó ganadora de la buena pro del mencionado proceso de selección y esta debe ser pagada en forma oportuna.</w:t>
      </w:r>
    </w:p>
    <w:p w:rsidR="005B2A46" w:rsidRPr="003D0A56" w:rsidRDefault="005B2A46" w:rsidP="005B2A46">
      <w:pPr>
        <w:pStyle w:val="Prrafodelista"/>
        <w:ind w:left="567"/>
        <w:contextualSpacing/>
        <w:jc w:val="both"/>
        <w:rPr>
          <w:rFonts w:ascii="Tahoma" w:hAnsi="Tahoma" w:cs="Tahoma"/>
          <w:i/>
          <w:sz w:val="20"/>
        </w:rPr>
      </w:pPr>
    </w:p>
    <w:p w:rsidR="005B2A46" w:rsidRPr="003D0A56" w:rsidRDefault="005B2A46" w:rsidP="005B2A46">
      <w:pPr>
        <w:pStyle w:val="Prrafodelista"/>
        <w:ind w:left="567"/>
        <w:contextualSpacing/>
        <w:jc w:val="both"/>
        <w:rPr>
          <w:rFonts w:ascii="Tahoma" w:hAnsi="Tahoma" w:cs="Tahoma"/>
          <w:i/>
          <w:sz w:val="20"/>
        </w:rPr>
      </w:pPr>
      <w:r w:rsidRPr="003D0A56">
        <w:rPr>
          <w:rFonts w:ascii="Tahoma" w:hAnsi="Tahoma" w:cs="Tahoma"/>
          <w:i/>
          <w:sz w:val="20"/>
        </w:rPr>
        <w:t>Su representada tiene como obligación contractual laboral respecto de su personal de vigilancia realizar el pago integro y oportuno de remuneraciones y gratificaciones mediante depósito bancario, dejando constancia que los adelantos no constituyen un hecho fortuito, pues no responden a una eventualidad sino a la práctica empleada como forma de pago; obligaciones contenidas en los numerales 10.14 y 10.21 del Contrato, que no han sido cumplidas, en el entendido que los depósitos bancarios que se remiten fueron inoportunos y los montos allí consignados no corresponde a la estructura de costos respectiva.</w:t>
      </w:r>
    </w:p>
    <w:p w:rsidR="005B2A46" w:rsidRPr="003D0A56" w:rsidRDefault="005B2A46" w:rsidP="005B2A46">
      <w:pPr>
        <w:pStyle w:val="Prrafodelista"/>
        <w:ind w:left="567"/>
        <w:contextualSpacing/>
        <w:jc w:val="both"/>
        <w:rPr>
          <w:rFonts w:ascii="Tahoma" w:hAnsi="Tahoma" w:cs="Tahoma"/>
          <w:i/>
          <w:sz w:val="20"/>
        </w:rPr>
      </w:pPr>
    </w:p>
    <w:p w:rsidR="005B2A46" w:rsidRPr="003D0A56" w:rsidRDefault="005B2A46" w:rsidP="005B2A46">
      <w:pPr>
        <w:pStyle w:val="Prrafodelista"/>
        <w:ind w:left="567"/>
        <w:contextualSpacing/>
        <w:jc w:val="both"/>
        <w:rPr>
          <w:rFonts w:ascii="Tahoma" w:hAnsi="Tahoma" w:cs="Tahoma"/>
          <w:i/>
          <w:sz w:val="20"/>
        </w:rPr>
      </w:pPr>
      <w:r w:rsidRPr="003D0A56">
        <w:rPr>
          <w:rFonts w:ascii="Tahoma" w:hAnsi="Tahoma" w:cs="Tahoma"/>
          <w:i/>
          <w:sz w:val="20"/>
        </w:rPr>
        <w:t xml:space="preserve">Además, el Contrato establece que el pago de remuneraciones y gratificaciones deben ser oportunas, es decir, puntuales considerando que la remuneración es la contraprestación por un servicio o trabajo prestado, y si este se desarrolla en forma mensual, el pago debe realizarse el último día hábil del mes en que se prestan los servicios, concordantes con los plazos para la elaboración de planillas de sueldos y el pago oportuno que realiza EGASA para cumplir con estas obligaciones. Con relación a la Gratificación por Fiestas Patrias, el artículo 5 de la Ley 27735 establece que esta es abonada en la primera quincena del mes de julio, lo que no se aprecia de los documentos remitidos, pues claramente se tiene que las remuneraciones que corresponden al mes de </w:t>
      </w:r>
      <w:r w:rsidRPr="003D0A56">
        <w:rPr>
          <w:rFonts w:ascii="Tahoma" w:hAnsi="Tahoma" w:cs="Tahoma"/>
          <w:i/>
          <w:sz w:val="20"/>
        </w:rPr>
        <w:lastRenderedPageBreak/>
        <w:t>junio han sido pagadas en forma fraccionada los días 08, 17 y 21 de julio respectivamente, y las gratificaciones por Fiestas Patrias recién el 22 de julio del presente; esta ultima corroborada con los depósitos hechos en el Banco Continental, que en forma temeraria su representada alcanzo la orden emitida al Banco sin certeza de la respectiva fecha; por lo tanto, estos depósitos no fueron oportunos y se realizaron fuera del plazo que establece la ley.</w:t>
      </w:r>
    </w:p>
    <w:p w:rsidR="005B2A46" w:rsidRPr="003D0A56" w:rsidRDefault="005B2A46" w:rsidP="005B2A46">
      <w:pPr>
        <w:pStyle w:val="Prrafodelista"/>
        <w:ind w:left="567"/>
        <w:contextualSpacing/>
        <w:jc w:val="both"/>
        <w:rPr>
          <w:rFonts w:ascii="Tahoma" w:hAnsi="Tahoma" w:cs="Tahoma"/>
          <w:i/>
          <w:sz w:val="20"/>
        </w:rPr>
      </w:pPr>
    </w:p>
    <w:p w:rsidR="005B2A46" w:rsidRPr="003D0A56" w:rsidRDefault="005B2A46" w:rsidP="005B2A46">
      <w:pPr>
        <w:pStyle w:val="Prrafodelista"/>
        <w:ind w:left="567"/>
        <w:contextualSpacing/>
        <w:jc w:val="both"/>
        <w:rPr>
          <w:rFonts w:ascii="Tahoma" w:hAnsi="Tahoma" w:cs="Tahoma"/>
          <w:i/>
          <w:sz w:val="20"/>
        </w:rPr>
      </w:pPr>
      <w:r w:rsidRPr="003D0A56">
        <w:rPr>
          <w:rFonts w:ascii="Tahoma" w:hAnsi="Tahoma" w:cs="Tahoma"/>
          <w:i/>
          <w:sz w:val="20"/>
        </w:rPr>
        <w:t>Estos hechos se corroboran con el  Informe AF/Sp-05/2008-EGASA que suscribe el titular de la Jefatura de Seguridad Patrimonial, en su condición de administrador del Contrato, concluyendo que su representada ha incumplido deliberadamente las obligaciones laborales contraídas con EGASA, pues además de no haber realizado el pago de conceptos como remuneraciones y gratificaciones en forma oportuna, estos montos no se ajustan a la estructura de costos presentada por Metro Security And Services SRLtda, más aun que estos sirven como sustento de la facturación mensual que su representada presenta mensualmente a EGASA, un hecho que sucede en forma reiterada como puede apreciarse de la Carta GG/AF-0512/2008-EGASA del 10 de junio de 2008, remitida a su Despacho por el mismo motivo.</w:t>
      </w:r>
    </w:p>
    <w:p w:rsidR="005B2A46" w:rsidRPr="003D0A56" w:rsidRDefault="005B2A46" w:rsidP="005B2A46">
      <w:pPr>
        <w:pStyle w:val="Prrafodelista"/>
        <w:ind w:left="567"/>
        <w:contextualSpacing/>
        <w:jc w:val="both"/>
        <w:rPr>
          <w:rFonts w:ascii="Tahoma" w:hAnsi="Tahoma" w:cs="Tahoma"/>
          <w:i/>
          <w:sz w:val="20"/>
        </w:rPr>
      </w:pPr>
    </w:p>
    <w:p w:rsidR="005B2A46" w:rsidRPr="003D0A56" w:rsidRDefault="005B2A46" w:rsidP="005B2A46">
      <w:pPr>
        <w:pStyle w:val="Prrafodelista"/>
        <w:ind w:left="567"/>
        <w:contextualSpacing/>
        <w:jc w:val="both"/>
        <w:rPr>
          <w:rFonts w:ascii="Tahoma" w:hAnsi="Tahoma" w:cs="Tahoma"/>
          <w:i/>
          <w:sz w:val="20"/>
        </w:rPr>
      </w:pPr>
      <w:r w:rsidRPr="003D0A56">
        <w:rPr>
          <w:rFonts w:ascii="Tahoma" w:hAnsi="Tahoma" w:cs="Tahoma"/>
          <w:i/>
          <w:sz w:val="20"/>
        </w:rPr>
        <w:t>Por todo lo expuesto, en concordancia con lo regulado por el articulo 26 numeral 2 de la Constitución Política del Perú, que expone en materia laboral el carácter irrenunciable de los derechos laborales reconocidos por la Constitución y la Ley, y por no haber cumplido con el pago de remuneraciones y demás beneficios sociales (inclusive adelantos) en la forma, condiciones y plazos establecidos en el Contrato, a pesar de haber sido requerido reiteradamente conforme a ley, es que de conformidad con lo establecido en el numeral 13.6 del Contrato y el artículo 226 del Reglamento mencionado, a partir de la fecha damos por resuelto el contrato suscrito con su representada, y procederemos a ejecutar las garantías otorgadas y a denunciar este hecho al Consejo Superior de Contrataciones y Adquisiciones del Estado (CONSUCODE) a fin de que le impongan las sanciones correspondientes.”</w:t>
      </w:r>
    </w:p>
    <w:p w:rsidR="005B2A46" w:rsidRPr="003D0A56" w:rsidRDefault="005B2A46" w:rsidP="005B2A46">
      <w:pPr>
        <w:pStyle w:val="Prrafodelista"/>
        <w:ind w:left="567"/>
        <w:contextualSpacing/>
        <w:jc w:val="both"/>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 xml:space="preserve">El 07 de agosto de 2008 la Contratista formula petición de arbitraje al Centro de Arbitraje y Mediación Nacional e Internacional de la Cámara de Comercio  e Industria de Arequipa. </w:t>
      </w:r>
    </w:p>
    <w:p w:rsidR="005B2A46" w:rsidRPr="003D0A56" w:rsidRDefault="005B2A46" w:rsidP="005B2A46">
      <w:pPr>
        <w:pStyle w:val="Prrafodelista"/>
        <w:ind w:left="567"/>
        <w:contextualSpacing/>
        <w:jc w:val="both"/>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El 29 de mayo de 2009 en la audiencia respectiva se fijaron los puntos controvertidos, siendo uno de ellos el determinar si procedía la pretensión de la Contratista de declaración de nulidad de la resolución del Contrato, siendo desestimada dicha pretensión concluyéndose en el Laudo Arbitral respectivo que la resolución del Contrato fue válida.</w:t>
      </w:r>
    </w:p>
    <w:p w:rsidR="005B2A46" w:rsidRPr="003D0A56" w:rsidRDefault="005B2A46" w:rsidP="005B2A46">
      <w:pPr>
        <w:contextualSpacing/>
        <w:jc w:val="both"/>
        <w:rPr>
          <w:rFonts w:ascii="Tahoma" w:hAnsi="Tahoma" w:cs="Tahoma"/>
          <w:sz w:val="20"/>
          <w:szCs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Mediante escrito presentado el 28 de setiembre  de 2010, la Entidad puso en conocimiento de este Tribunal de Contrataciones del Estado, en adelante el Tribunal, los hechos anteriormente descritos, solicitando la correspondiente aplicación de sanción para la Contratista por el incumplimiento de sus obligaciones contractuales.</w:t>
      </w:r>
    </w:p>
    <w:p w:rsidR="005B2A46" w:rsidRPr="003D0A56" w:rsidRDefault="005B2A46" w:rsidP="005B2A46">
      <w:pPr>
        <w:pStyle w:val="Prrafodelista"/>
        <w:jc w:val="both"/>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 xml:space="preserve">Mediante decreto de fecha 12 de octubre de 2010, la Secretaría del Tribunal inicio el procedimiento administrativo sancionador a la empresa Metro Security and Services SRLtda por haber dado lugar a la resolución del contrato Nº C.GG-155/2007-EGASA de fecha  20.12.2007 por causal atribuible a su parte y se notificó a la empresa Contratista para que en el plazo de 10 días hábiles cumpla con presentar sus descargos, bajo </w:t>
      </w:r>
      <w:r w:rsidRPr="003D0A56">
        <w:rPr>
          <w:rFonts w:ascii="Tahoma" w:hAnsi="Tahoma" w:cs="Tahoma"/>
          <w:sz w:val="20"/>
        </w:rPr>
        <w:lastRenderedPageBreak/>
        <w:t>apercibimiento de resolver el procedimiento con la documentación obrante en el expediente.</w:t>
      </w:r>
    </w:p>
    <w:p w:rsidR="005B2A46" w:rsidRPr="003D0A56" w:rsidRDefault="005B2A46" w:rsidP="005B2A46">
      <w:pPr>
        <w:pStyle w:val="Prrafodelista"/>
        <w:jc w:val="both"/>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El 07 de enero de 2011, la Contratista remite al Tribunal sus descargos, indicando lo siguiente:</w:t>
      </w:r>
    </w:p>
    <w:p w:rsidR="005B2A46" w:rsidRPr="003D0A56" w:rsidRDefault="005B2A46" w:rsidP="005B2A46">
      <w:pPr>
        <w:pStyle w:val="Prrafodelista"/>
        <w:rPr>
          <w:rFonts w:ascii="Tahoma" w:hAnsi="Tahoma" w:cs="Tahoma"/>
          <w:sz w:val="20"/>
        </w:rPr>
      </w:pPr>
    </w:p>
    <w:p w:rsidR="005B2A46" w:rsidRPr="003D0A56" w:rsidRDefault="005B2A46" w:rsidP="005B2A46">
      <w:pPr>
        <w:pStyle w:val="Prrafodelista"/>
        <w:widowControl/>
        <w:numPr>
          <w:ilvl w:val="0"/>
          <w:numId w:val="3"/>
        </w:numPr>
        <w:suppressAutoHyphens w:val="0"/>
        <w:contextualSpacing/>
        <w:jc w:val="both"/>
        <w:rPr>
          <w:rFonts w:ascii="Tahoma" w:hAnsi="Tahoma" w:cs="Tahoma"/>
          <w:sz w:val="20"/>
        </w:rPr>
      </w:pPr>
      <w:r w:rsidRPr="003D0A56">
        <w:rPr>
          <w:rFonts w:ascii="Tahoma" w:hAnsi="Tahoma" w:cs="Tahoma"/>
          <w:sz w:val="20"/>
        </w:rPr>
        <w:t>Que niega que la resolución del contrato haya sido por casusa atribuible a su parte.</w:t>
      </w:r>
    </w:p>
    <w:p w:rsidR="005B2A46" w:rsidRPr="003D0A56" w:rsidRDefault="005B2A46" w:rsidP="005B2A46">
      <w:pPr>
        <w:pStyle w:val="Prrafodelista"/>
        <w:widowControl/>
        <w:numPr>
          <w:ilvl w:val="0"/>
          <w:numId w:val="3"/>
        </w:numPr>
        <w:suppressAutoHyphens w:val="0"/>
        <w:contextualSpacing/>
        <w:jc w:val="both"/>
        <w:rPr>
          <w:rFonts w:ascii="Tahoma" w:hAnsi="Tahoma" w:cs="Tahoma"/>
          <w:sz w:val="20"/>
        </w:rPr>
      </w:pPr>
      <w:r w:rsidRPr="003D0A56">
        <w:rPr>
          <w:rFonts w:ascii="Tahoma" w:hAnsi="Tahoma" w:cs="Tahoma"/>
          <w:sz w:val="20"/>
        </w:rPr>
        <w:t>Que la Entidad no observó el procedimiento de resolución contractual, ya que, mediante Carta Notarial Nº GG-544/2008-EGASA, la Entidad, de un lado, le solicitó el cumplimiento de sus obligaciones contractuales como el pago de remuneraciones, y de otro lado, le solicitó que en el plazo de 1 día le haga la entrega de los cupones de depósitos bancarios, bajo apercibimiento de la resolución, hecho que resulta incongruente, pues no podría solicitar primero el pago de remuneraciones oportunas y a la vez en el plazo de un (1) día la entrega de los cupones de los depósitos bancarios.</w:t>
      </w:r>
    </w:p>
    <w:p w:rsidR="005B2A46" w:rsidRPr="003D0A56" w:rsidRDefault="005B2A46" w:rsidP="005B2A46">
      <w:pPr>
        <w:pStyle w:val="Prrafodelista"/>
        <w:widowControl/>
        <w:numPr>
          <w:ilvl w:val="0"/>
          <w:numId w:val="3"/>
        </w:numPr>
        <w:suppressAutoHyphens w:val="0"/>
        <w:contextualSpacing/>
        <w:jc w:val="both"/>
        <w:rPr>
          <w:rFonts w:ascii="Tahoma" w:hAnsi="Tahoma" w:cs="Tahoma"/>
          <w:sz w:val="20"/>
        </w:rPr>
      </w:pPr>
      <w:r w:rsidRPr="003D0A56">
        <w:rPr>
          <w:rFonts w:ascii="Tahoma" w:hAnsi="Tahoma" w:cs="Tahoma"/>
          <w:sz w:val="20"/>
        </w:rPr>
        <w:t>Que cumplieron con entregar a la Entidad en el plazo otorgado de un (1) día las órdenes al Banco Continental de hacer los abonos a las cuentas de los trabajadores acreditando así el pago de remuneraciones de junio y julio; por lo tanto señalan que se cumplió con el requerimiento.</w:t>
      </w:r>
    </w:p>
    <w:p w:rsidR="005B2A46" w:rsidRPr="003D0A56" w:rsidRDefault="005B2A46" w:rsidP="005B2A46">
      <w:pPr>
        <w:pStyle w:val="Prrafodelista"/>
        <w:widowControl/>
        <w:numPr>
          <w:ilvl w:val="0"/>
          <w:numId w:val="3"/>
        </w:numPr>
        <w:suppressAutoHyphens w:val="0"/>
        <w:contextualSpacing/>
        <w:jc w:val="both"/>
        <w:rPr>
          <w:rFonts w:ascii="Tahoma" w:hAnsi="Tahoma" w:cs="Tahoma"/>
          <w:sz w:val="20"/>
        </w:rPr>
      </w:pPr>
      <w:r w:rsidRPr="003D0A56">
        <w:rPr>
          <w:rFonts w:ascii="Tahoma" w:hAnsi="Tahoma" w:cs="Tahoma"/>
          <w:sz w:val="20"/>
        </w:rPr>
        <w:t>Que no existe en el Contrato celebrado con la Entidad clausula alguna que obligue a la Contratista a presentar cupones de depósito por los adelantos.</w:t>
      </w:r>
    </w:p>
    <w:p w:rsidR="005B2A46" w:rsidRPr="003D0A56" w:rsidRDefault="005B2A46" w:rsidP="005B2A46">
      <w:pPr>
        <w:contextualSpacing/>
        <w:jc w:val="both"/>
        <w:rPr>
          <w:rFonts w:ascii="Tahoma" w:hAnsi="Tahoma" w:cs="Tahoma"/>
          <w:sz w:val="20"/>
          <w:szCs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Con decreto de fecha 11 de enero de 2011, se tuvo apersonada a la Contratista  y se remitió el expediente a la Primera Sala del Tribunal para que resuelva.</w:t>
      </w:r>
    </w:p>
    <w:p w:rsidR="005B2A46" w:rsidRPr="003D0A56" w:rsidRDefault="005B2A46" w:rsidP="005B2A46">
      <w:pPr>
        <w:pStyle w:val="Prrafodelista"/>
        <w:ind w:left="567"/>
        <w:contextualSpacing/>
        <w:jc w:val="both"/>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El 11 de mayo del 2011, se emitió la Resolución Nº 781-2011-TC-S1 a través del cual se impuso a la Contratista la sanción administrativa de inhabilitación temporal por el periodo de dieciséis (16) meses, en sus derecho de participar en procesos de selección y contratar con el Estado, por la comisión de la infracción tipificada en el numeral 2) del artículo 294 del Reglamento.</w:t>
      </w:r>
    </w:p>
    <w:p w:rsidR="005B2A46" w:rsidRPr="003D0A56" w:rsidRDefault="005B2A46" w:rsidP="005B2A46">
      <w:pPr>
        <w:pStyle w:val="Prrafodelista"/>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A través del escrito presentado el 20 de mayo del 2011 ante la Oficina Desconcentrada de OSCE, ubicada en la ciudad de Arequipa, y remitida a Mesa de Partes del Tribunal el 24 de mayo del 2011, la Contratista interpuso recurso de reconsideración contra la Resolución Nº 781-2011-TC-S1, bajo los siguiente argumentos:</w:t>
      </w:r>
    </w:p>
    <w:p w:rsidR="005B2A46" w:rsidRPr="003D0A56" w:rsidRDefault="005B2A46" w:rsidP="005B2A46">
      <w:pPr>
        <w:rPr>
          <w:rFonts w:ascii="Tahoma" w:hAnsi="Tahoma" w:cs="Tahoma"/>
          <w:sz w:val="20"/>
          <w:szCs w:val="20"/>
        </w:rPr>
      </w:pPr>
    </w:p>
    <w:p w:rsidR="005B2A46" w:rsidRPr="003D0A56" w:rsidRDefault="005B2A46" w:rsidP="005B2A46">
      <w:pPr>
        <w:pStyle w:val="Prrafodelista"/>
        <w:widowControl/>
        <w:numPr>
          <w:ilvl w:val="0"/>
          <w:numId w:val="7"/>
        </w:numPr>
        <w:suppressAutoHyphens w:val="0"/>
        <w:ind w:left="1134" w:hanging="567"/>
        <w:contextualSpacing/>
        <w:jc w:val="both"/>
        <w:rPr>
          <w:rFonts w:ascii="Tahoma" w:hAnsi="Tahoma" w:cs="Tahoma"/>
          <w:sz w:val="20"/>
        </w:rPr>
      </w:pPr>
      <w:r w:rsidRPr="003D0A56">
        <w:rPr>
          <w:rFonts w:ascii="Tahoma" w:hAnsi="Tahoma" w:cs="Tahoma"/>
          <w:sz w:val="20"/>
        </w:rPr>
        <w:t>Solicitó que se declare nulo la resolución recurrida, al no haberse respetado el debido procedimiento así como la garantía constitucional de defensa, toda vez que, a pesar que a través del escrito presentado el 04 de enero del 2011, solicitó el uso de la palabra, el Tribunal no ha tomado en consideración dicho pedido ni se ha pronunciado sobre el mismo.</w:t>
      </w:r>
    </w:p>
    <w:p w:rsidR="005B2A46" w:rsidRPr="003D0A56" w:rsidRDefault="005B2A46" w:rsidP="005B2A46">
      <w:pPr>
        <w:pStyle w:val="Prrafodelista"/>
        <w:ind w:left="1134" w:hanging="567"/>
        <w:contextualSpacing/>
        <w:jc w:val="both"/>
        <w:rPr>
          <w:rFonts w:ascii="Tahoma" w:hAnsi="Tahoma" w:cs="Tahoma"/>
          <w:sz w:val="20"/>
        </w:rPr>
      </w:pPr>
    </w:p>
    <w:p w:rsidR="005B2A46" w:rsidRPr="003D0A56" w:rsidRDefault="005B2A46" w:rsidP="005B2A46">
      <w:pPr>
        <w:pStyle w:val="Prrafodelista"/>
        <w:widowControl/>
        <w:numPr>
          <w:ilvl w:val="0"/>
          <w:numId w:val="7"/>
        </w:numPr>
        <w:suppressAutoHyphens w:val="0"/>
        <w:ind w:left="1134" w:hanging="567"/>
        <w:contextualSpacing/>
        <w:jc w:val="both"/>
        <w:rPr>
          <w:rFonts w:ascii="Tahoma" w:hAnsi="Tahoma" w:cs="Tahoma"/>
          <w:sz w:val="20"/>
        </w:rPr>
      </w:pPr>
      <w:r w:rsidRPr="003D0A56">
        <w:rPr>
          <w:rFonts w:ascii="Tahoma" w:hAnsi="Tahoma" w:cs="Tahoma"/>
          <w:sz w:val="20"/>
        </w:rPr>
        <w:t>En tal sentido, en aplicación del numeral 182.3 del artículo 182 de la Ley Nº 27444, Ley del Procedimiento Administrativo General, la misma que establece que “La omisión de realización de la audiencia pública acarrea la nulidad del acto administrativo final que se dicte”, por lo cual en el presente caso se configura la causal de nulidad antes descrita, debiéndose retrotraer el procedimiento hasta el momento que se fije la fecha de la audiencia correspondiente a fin de proceder y alegar los argumentos de defensa correspondiente, en concordancia con la garantía del debido procedimiento.</w:t>
      </w:r>
    </w:p>
    <w:p w:rsidR="005B2A46" w:rsidRPr="003D0A56" w:rsidRDefault="005B2A46" w:rsidP="005B2A46">
      <w:pPr>
        <w:pStyle w:val="Prrafodelista"/>
        <w:ind w:left="567"/>
        <w:contextualSpacing/>
        <w:jc w:val="both"/>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Mediante decreto de fecha 24 de mayo del 2011, se admitió el recurso de reconsideración interpuesto contra la Resolución Nº 781-2011-TC-S1, se tuvo por señalado su domicilio procesal, y se remitió el presente expediente a la Primera Sala del Tribunal para que resuelva.</w:t>
      </w:r>
    </w:p>
    <w:p w:rsidR="005B2A46" w:rsidRPr="003D0A56" w:rsidRDefault="005B2A46" w:rsidP="005B2A46">
      <w:pPr>
        <w:pStyle w:val="Prrafodelista"/>
        <w:ind w:left="567"/>
        <w:contextualSpacing/>
        <w:jc w:val="both"/>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 xml:space="preserve">A través del decreto de fecha 25 de mayo del 2011, se programó audiencia pública para el 31 de mayo del 2011, a fin que la Contratista </w:t>
      </w:r>
      <w:r w:rsidRPr="003D0A56">
        <w:rPr>
          <w:rFonts w:ascii="Tahoma" w:hAnsi="Tahoma" w:cs="Tahoma"/>
          <w:color w:val="000000"/>
          <w:sz w:val="20"/>
        </w:rPr>
        <w:t>en uso de su derecho de defensa, realice sus respectivos informes técnico y/o legales respecto de la infracción estipulada en el numeral 2 del artículo 294 del Reglamento de la Ley de Contrataciones y Adquisiciones del Estado, es decir, dar lugar a la resolución del contrato, orden de compra o de servicios por causal atribuible a su parte, suscrito con la Empresa de Generación Eléctrica de Arequipa SA para la contratación del servicio de seguridad y vigilancia en sus instalaciones durante el periodo 2007-2008.</w:t>
      </w:r>
    </w:p>
    <w:p w:rsidR="005B2A46" w:rsidRPr="003D0A56" w:rsidRDefault="005B2A46" w:rsidP="005B2A46">
      <w:pPr>
        <w:pStyle w:val="Prrafodelista"/>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Con escrito presentado el 30 de mayo del 2011, la Contratista solicitó el aplazamiento de la Audiencia Pública.</w:t>
      </w:r>
    </w:p>
    <w:p w:rsidR="005B2A46" w:rsidRPr="003D0A56" w:rsidRDefault="005B2A46" w:rsidP="005B2A46">
      <w:pPr>
        <w:pStyle w:val="Prrafodelista"/>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En virtud al escrito antes mencionado, mediante decreto de fecha 30 de mayo del 2011, se reprogramó la Audiencia Pública para el 06 de junio del 2011.</w:t>
      </w:r>
    </w:p>
    <w:p w:rsidR="005B2A46" w:rsidRPr="003D0A56" w:rsidRDefault="005B2A46" w:rsidP="005B2A46">
      <w:pPr>
        <w:pStyle w:val="Prrafodelista"/>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Con escritos presentados el 03 de junio del 2011, la Contratista solicitó nuevamente el aplazamiento de la Audiencia Pública para el 10 de junio del 2011; asimismo, señaló lo siguiente:</w:t>
      </w:r>
    </w:p>
    <w:p w:rsidR="005B2A46" w:rsidRPr="003D0A56" w:rsidRDefault="005B2A46" w:rsidP="005B2A46">
      <w:pPr>
        <w:pStyle w:val="Prrafodelista"/>
        <w:rPr>
          <w:rFonts w:ascii="Tahoma" w:hAnsi="Tahoma" w:cs="Tahoma"/>
          <w:sz w:val="20"/>
        </w:rPr>
      </w:pPr>
    </w:p>
    <w:p w:rsidR="005B2A46" w:rsidRPr="003D0A56" w:rsidRDefault="005B2A46" w:rsidP="005B2A46">
      <w:pPr>
        <w:pStyle w:val="Prrafodelista"/>
        <w:widowControl/>
        <w:numPr>
          <w:ilvl w:val="0"/>
          <w:numId w:val="8"/>
        </w:numPr>
        <w:suppressAutoHyphens w:val="0"/>
        <w:ind w:left="1134" w:hanging="567"/>
        <w:contextualSpacing/>
        <w:jc w:val="both"/>
        <w:rPr>
          <w:rFonts w:ascii="Tahoma" w:hAnsi="Tahoma" w:cs="Tahoma"/>
          <w:sz w:val="20"/>
        </w:rPr>
      </w:pPr>
      <w:r w:rsidRPr="003D0A56">
        <w:rPr>
          <w:rFonts w:ascii="Tahoma" w:hAnsi="Tahoma" w:cs="Tahoma"/>
          <w:sz w:val="20"/>
        </w:rPr>
        <w:t>La Resolución del Contrato 155-2007-EGAS, no fue por causas atribuible a ella y, además, el procedimiento seguido por la Entidad no es el que se establece en los artículo 225 y 226 del Reglamento, toda vez que en virtud a las clausulas 4,2 y 13,6; la resolución por causa del contratista es el incumplimiento de sus obligaciones laborales, como el pago de la remuneración del personal asignado a EGASA y la forma de resolución es el requerimiento para que el contratista en un plazo no mayor de 05 días cumpla con satisfacer la observación sobre el cumplimiento de las obligaciones laborales; no obstante ello, la Entidad mediante carta notarial el 21 de julio del 2008, requiere el cumplimiento de sus obligaciones contractuales, como es el pago de remuneraciones y le otorgó 01 día calendario para cumplir con presentar los cupones de los depósitos bancarios, por lo cual, en virtud a lo señalado anteriormente, el incumplimiento ha sido por las obligaciones laborales y tributarias y no por la presentación de cupones de depósitos bancarios.</w:t>
      </w:r>
    </w:p>
    <w:p w:rsidR="005B2A46" w:rsidRPr="003D0A56" w:rsidRDefault="005B2A46" w:rsidP="005B2A46">
      <w:pPr>
        <w:pStyle w:val="Prrafodelista"/>
        <w:ind w:left="1134" w:hanging="567"/>
        <w:contextualSpacing/>
        <w:jc w:val="both"/>
        <w:rPr>
          <w:rFonts w:ascii="Tahoma" w:hAnsi="Tahoma" w:cs="Tahoma"/>
          <w:sz w:val="20"/>
        </w:rPr>
      </w:pPr>
    </w:p>
    <w:p w:rsidR="005B2A46" w:rsidRPr="003D0A56" w:rsidRDefault="005B2A46" w:rsidP="005B2A46">
      <w:pPr>
        <w:pStyle w:val="Prrafodelista"/>
        <w:widowControl/>
        <w:numPr>
          <w:ilvl w:val="0"/>
          <w:numId w:val="8"/>
        </w:numPr>
        <w:suppressAutoHyphens w:val="0"/>
        <w:ind w:left="1134" w:hanging="567"/>
        <w:contextualSpacing/>
        <w:jc w:val="both"/>
        <w:rPr>
          <w:rFonts w:ascii="Tahoma" w:hAnsi="Tahoma" w:cs="Tahoma"/>
          <w:sz w:val="20"/>
        </w:rPr>
      </w:pPr>
      <w:r w:rsidRPr="003D0A56">
        <w:rPr>
          <w:rFonts w:ascii="Tahoma" w:hAnsi="Tahoma" w:cs="Tahoma"/>
          <w:sz w:val="20"/>
        </w:rPr>
        <w:t>De lo dicho anteriormente, el requerimiento efectuado por la Entidad para cumplir con lo previsto en los artículo 225 y 226 del Reglamento, debió indicar que habiéndose detectado que el Contratista ha incumplido sus obligaciones laborales y tributarias, así como el pago impuntual de la remuneración del personal asignado a EGASA, se le requiere que en un plazo de 01 día cumpla con realizar el pago de las obligaciones laborales del personal destacado a EGASA, por lo cual, la Entidad no cumplió con lo previsto en los artículo 225 y 226 del Reglamento.</w:t>
      </w:r>
    </w:p>
    <w:p w:rsidR="005B2A46" w:rsidRPr="003D0A56" w:rsidRDefault="005B2A46" w:rsidP="005B2A46">
      <w:pPr>
        <w:pStyle w:val="Prrafodelista"/>
        <w:ind w:left="1134" w:hanging="567"/>
        <w:contextualSpacing/>
        <w:jc w:val="both"/>
        <w:rPr>
          <w:rFonts w:ascii="Tahoma" w:hAnsi="Tahoma" w:cs="Tahoma"/>
          <w:sz w:val="20"/>
        </w:rPr>
      </w:pPr>
    </w:p>
    <w:p w:rsidR="005B2A46" w:rsidRPr="003D0A56" w:rsidRDefault="005B2A46" w:rsidP="005B2A46">
      <w:pPr>
        <w:pStyle w:val="Prrafodelista"/>
        <w:widowControl/>
        <w:numPr>
          <w:ilvl w:val="0"/>
          <w:numId w:val="8"/>
        </w:numPr>
        <w:suppressAutoHyphens w:val="0"/>
        <w:ind w:left="1134" w:hanging="567"/>
        <w:contextualSpacing/>
        <w:jc w:val="both"/>
        <w:rPr>
          <w:rFonts w:ascii="Tahoma" w:hAnsi="Tahoma" w:cs="Tahoma"/>
          <w:sz w:val="20"/>
        </w:rPr>
      </w:pPr>
      <w:r w:rsidRPr="003D0A56">
        <w:rPr>
          <w:rFonts w:ascii="Tahoma" w:hAnsi="Tahoma" w:cs="Tahoma"/>
          <w:sz w:val="20"/>
        </w:rPr>
        <w:t xml:space="preserve">Por otra parte, señaló que en la Carta Notarial del 23 de julio del 2008, la Entidad señaló que el contrato establece que el pago de remuneraciones y gratificaciones deben ser oportunas, considerando que la remuneración es la contraprestación por </w:t>
      </w:r>
      <w:r w:rsidRPr="003D0A56">
        <w:rPr>
          <w:rFonts w:ascii="Tahoma" w:hAnsi="Tahoma" w:cs="Tahoma"/>
          <w:sz w:val="20"/>
        </w:rPr>
        <w:lastRenderedPageBreak/>
        <w:t>un servicio o trabajo prestado y si este se desarrolla en forma mensual, el pago debe de realizarse el último día hábil del mes en que se presta el servicio, concordantes con los plazos para la elaboración de la planilla de sueldos y el pago oportuno que realiza la Entidad para cumplir con dichas obligaciones; no obstante ello, la Entidad recién pagó su factura correspondiente al mes de mayo del 2008 el día 16 de julio del mismo año, y en lo que respecta a la factura por sus servicios del mes de junio, recién se cancela el mes de setiembre del 2010.</w:t>
      </w:r>
    </w:p>
    <w:p w:rsidR="005B2A46" w:rsidRPr="003D0A56" w:rsidRDefault="005B2A46" w:rsidP="005B2A46">
      <w:pPr>
        <w:pStyle w:val="Prrafodelista"/>
        <w:ind w:left="1134" w:hanging="567"/>
        <w:contextualSpacing/>
        <w:jc w:val="both"/>
        <w:rPr>
          <w:rFonts w:ascii="Tahoma" w:hAnsi="Tahoma" w:cs="Tahoma"/>
          <w:sz w:val="20"/>
        </w:rPr>
      </w:pPr>
    </w:p>
    <w:p w:rsidR="005B2A46" w:rsidRPr="003D0A56" w:rsidRDefault="005B2A46" w:rsidP="005B2A46">
      <w:pPr>
        <w:pStyle w:val="Prrafodelista"/>
        <w:widowControl/>
        <w:numPr>
          <w:ilvl w:val="0"/>
          <w:numId w:val="8"/>
        </w:numPr>
        <w:suppressAutoHyphens w:val="0"/>
        <w:ind w:left="1134" w:hanging="567"/>
        <w:contextualSpacing/>
        <w:jc w:val="both"/>
        <w:rPr>
          <w:rFonts w:ascii="Tahoma" w:hAnsi="Tahoma" w:cs="Tahoma"/>
          <w:sz w:val="20"/>
        </w:rPr>
      </w:pPr>
      <w:r w:rsidRPr="003D0A56">
        <w:rPr>
          <w:rFonts w:ascii="Tahoma" w:hAnsi="Tahoma" w:cs="Tahoma"/>
          <w:sz w:val="20"/>
        </w:rPr>
        <w:t>En tal sentido, se demuestra que la Entidad no cumplió con cancelar oportunamente sus obligaciones de pago, sin embargo, ésta requería que cumpliera con sus obligaciones, por lo tanto, comunicaron a sus vigilantes las demoras de los pagos de sus servicios y que tenían que cancelar de manera fraccionada los haberes de junio y la gratificación del mes de julio, situación que fue aceptada por ellos, tal como se puede acreditar en las declaraciones juradas firmadas notarialmente por dos vigilantes que prestaron sus servicios en dicha contratación.</w:t>
      </w:r>
    </w:p>
    <w:p w:rsidR="005B2A46" w:rsidRPr="003D0A56" w:rsidRDefault="005B2A46" w:rsidP="005B2A46">
      <w:pPr>
        <w:pStyle w:val="Prrafodelista"/>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 xml:space="preserve">Con decreto de fecha 06 de junio del 2011, se declaró no ha lugar la solicitud de ampliación de audiencia pública, teniendo en consideración que este Tribunal </w:t>
      </w:r>
      <w:r w:rsidRPr="003D0A56">
        <w:rPr>
          <w:rFonts w:ascii="Tahoma" w:hAnsi="Tahoma" w:cs="Tahoma"/>
          <w:color w:val="000000"/>
          <w:sz w:val="20"/>
        </w:rPr>
        <w:t>cuenta con plazos perentorios para resolver el recurso de reconsideración conforme lo establece el artículo N° 249 del Reglamento de Contrataciones del Estado aprobado mediante Decreto Supremo N° 184-2008-EF, sin perjuicio de ello queda expedito su derecho de formular sus alegatos por escrito conforme lo establece el numeral 1 del artículo 161 de la Ley de Procedimiento Administrativo General- Ley  N° 27444.</w:t>
      </w:r>
    </w:p>
    <w:p w:rsidR="005B2A46" w:rsidRPr="003D0A56" w:rsidRDefault="005B2A46" w:rsidP="005B2A46">
      <w:pPr>
        <w:pStyle w:val="Prrafodelista"/>
        <w:ind w:left="567"/>
        <w:contextualSpacing/>
        <w:jc w:val="both"/>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A través del decreto de fecha 07 de junio del 2011, se solicitó a la Entidad información adicional, bajo el siguiente detalle:</w:t>
      </w:r>
    </w:p>
    <w:p w:rsidR="005B2A46" w:rsidRPr="003D0A56" w:rsidRDefault="005B2A46" w:rsidP="005B2A46">
      <w:pPr>
        <w:contextualSpacing/>
        <w:jc w:val="both"/>
        <w:rPr>
          <w:rFonts w:ascii="Tahoma" w:hAnsi="Tahoma" w:cs="Tahoma"/>
          <w:sz w:val="20"/>
          <w:szCs w:val="20"/>
        </w:rPr>
      </w:pPr>
    </w:p>
    <w:p w:rsidR="005B2A46" w:rsidRPr="003D0A56" w:rsidRDefault="005B2A46" w:rsidP="005B2A46">
      <w:pPr>
        <w:pStyle w:val="Prrafodelista"/>
        <w:widowControl/>
        <w:numPr>
          <w:ilvl w:val="0"/>
          <w:numId w:val="9"/>
        </w:numPr>
        <w:suppressAutoHyphens w:val="0"/>
        <w:ind w:left="1418" w:right="282" w:hanging="567"/>
        <w:contextualSpacing/>
        <w:jc w:val="both"/>
        <w:rPr>
          <w:rFonts w:ascii="Tahoma" w:hAnsi="Tahoma" w:cs="Tahoma"/>
          <w:i/>
          <w:color w:val="000000"/>
          <w:sz w:val="20"/>
        </w:rPr>
      </w:pPr>
      <w:r w:rsidRPr="003D0A56">
        <w:rPr>
          <w:rFonts w:ascii="Tahoma" w:hAnsi="Tahoma" w:cs="Tahoma"/>
          <w:i/>
          <w:color w:val="000000"/>
          <w:sz w:val="20"/>
        </w:rPr>
        <w:t xml:space="preserve">Sírvase informar a este Tribunal y remitir los medios probatorios que correspondan respecto de lo señalado por la empresa Metro Security SRLtda., quien indicó que su representada efectuó el depósito correspondiente al pago del mes de mayo del 2008, por los servicios de vigilancia prestados por dicha empresa recién en el mes de julio del 2008. </w:t>
      </w:r>
    </w:p>
    <w:p w:rsidR="005B2A46" w:rsidRPr="003D0A56" w:rsidRDefault="005B2A46" w:rsidP="005B2A46">
      <w:pPr>
        <w:ind w:left="1418" w:right="282" w:hanging="567"/>
        <w:contextualSpacing/>
        <w:jc w:val="both"/>
        <w:rPr>
          <w:rFonts w:ascii="Tahoma" w:hAnsi="Tahoma" w:cs="Tahoma"/>
          <w:i/>
          <w:color w:val="000000"/>
          <w:sz w:val="20"/>
          <w:szCs w:val="20"/>
        </w:rPr>
      </w:pPr>
    </w:p>
    <w:p w:rsidR="005B2A46" w:rsidRPr="003D0A56" w:rsidRDefault="005B2A46" w:rsidP="005B2A46">
      <w:pPr>
        <w:pStyle w:val="Prrafodelista"/>
        <w:widowControl/>
        <w:numPr>
          <w:ilvl w:val="0"/>
          <w:numId w:val="9"/>
        </w:numPr>
        <w:suppressAutoHyphens w:val="0"/>
        <w:ind w:left="1418" w:right="282" w:hanging="567"/>
        <w:contextualSpacing/>
        <w:jc w:val="both"/>
        <w:rPr>
          <w:rFonts w:ascii="Tahoma" w:hAnsi="Tahoma" w:cs="Tahoma"/>
          <w:i/>
          <w:color w:val="000000"/>
          <w:sz w:val="20"/>
        </w:rPr>
      </w:pPr>
      <w:r w:rsidRPr="003D0A56">
        <w:rPr>
          <w:rFonts w:ascii="Tahoma" w:hAnsi="Tahoma" w:cs="Tahoma"/>
          <w:i/>
          <w:color w:val="000000"/>
          <w:sz w:val="20"/>
        </w:rPr>
        <w:t>Asimismo, sírvase informar documentadamente sobre las fechas en que se efectuó el pago a la empresa  Metro Security SRLtda., por el servicio de vigilancia prestado en durante el año 2008, adjuntando que acrediten dichos pagos.</w:t>
      </w:r>
    </w:p>
    <w:p w:rsidR="005B2A46" w:rsidRPr="003D0A56" w:rsidRDefault="005B2A46" w:rsidP="005B2A46">
      <w:pPr>
        <w:pStyle w:val="Prrafodelista"/>
        <w:ind w:left="567"/>
        <w:contextualSpacing/>
        <w:jc w:val="both"/>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Mediante escrito presentado el 08 de junio del 2011, la Contratista señaló que la Entidad no tuvo la voluntad de pagar sus facturas correspondientes al mes de mayo de 2008, exponiendo motivos dilatorios como la supuesta no presentación de documento requeridos para la cancelación de la misma, por lo cual, en dicho escrito adjuntó la Carta Nº 359-08 MSA/GG de fecha 04 de julio del 2008, en el cual la Contratista comunicó lo siguiente a la Entidad:</w:t>
      </w:r>
    </w:p>
    <w:p w:rsidR="005B2A46" w:rsidRPr="003D0A56" w:rsidRDefault="005B2A46" w:rsidP="005B2A46">
      <w:pPr>
        <w:pStyle w:val="Prrafodelista"/>
        <w:ind w:left="567"/>
        <w:contextualSpacing/>
        <w:jc w:val="both"/>
        <w:rPr>
          <w:rFonts w:ascii="Tahoma" w:hAnsi="Tahoma" w:cs="Tahoma"/>
          <w:sz w:val="20"/>
        </w:rPr>
      </w:pPr>
    </w:p>
    <w:p w:rsidR="005B2A46" w:rsidRPr="003D0A56" w:rsidRDefault="005B2A46" w:rsidP="005B2A46">
      <w:pPr>
        <w:pStyle w:val="Prrafodelista"/>
        <w:ind w:left="993" w:right="282"/>
        <w:contextualSpacing/>
        <w:jc w:val="both"/>
        <w:rPr>
          <w:rFonts w:ascii="Tahoma" w:hAnsi="Tahoma" w:cs="Tahoma"/>
          <w:i/>
          <w:sz w:val="20"/>
        </w:rPr>
      </w:pPr>
      <w:r w:rsidRPr="003D0A56">
        <w:rPr>
          <w:rFonts w:ascii="Tahoma" w:hAnsi="Tahoma" w:cs="Tahoma"/>
          <w:i/>
          <w:sz w:val="20"/>
        </w:rPr>
        <w:t xml:space="preserve">“Nos es grato dirigirnos a Uds. Para saludarles cordialmente y a la vez dar respuesta a su carta de la referencia en la que se nos devuelve nuestras facturas Nº 1754 y 1755, correspondiente a los servicios del mes de Mayo del 2008, sobre el particular el día 03 de Julio del 2008, mediante Carta N352 y 353, hemos </w:t>
      </w:r>
      <w:r w:rsidRPr="003D0A56">
        <w:rPr>
          <w:rFonts w:ascii="Tahoma" w:hAnsi="Tahoma" w:cs="Tahoma"/>
          <w:i/>
          <w:sz w:val="20"/>
        </w:rPr>
        <w:lastRenderedPageBreak/>
        <w:t>procedido a reingresar las facturas 1754 y 1755.</w:t>
      </w:r>
    </w:p>
    <w:p w:rsidR="005B2A46" w:rsidRPr="003D0A56" w:rsidRDefault="005B2A46" w:rsidP="005B2A46">
      <w:pPr>
        <w:pStyle w:val="Prrafodelista"/>
        <w:ind w:left="993" w:right="282"/>
        <w:contextualSpacing/>
        <w:jc w:val="both"/>
        <w:rPr>
          <w:rFonts w:ascii="Tahoma" w:hAnsi="Tahoma" w:cs="Tahoma"/>
          <w:i/>
          <w:sz w:val="20"/>
        </w:rPr>
      </w:pPr>
      <w:r w:rsidRPr="003D0A56">
        <w:rPr>
          <w:rFonts w:ascii="Tahoma" w:hAnsi="Tahoma" w:cs="Tahoma"/>
          <w:i/>
          <w:sz w:val="20"/>
        </w:rPr>
        <w:t>En lo que respecta a la presentación de copia de cupones de depósito bancario de pago de remuneraciones correspondientes al mes de abril del 2008, mi representada a cumplido con presentar lo solicitado en su oportunidad, pero a su requerimiento adjuntamos a la presente otra copia de los depósitos, asimismo, manifiestan que no hemos cumplido con presentar copia del comprobante de pago por concepto de la prima mensual de las Pólizas de Responsabilidad Civil y Deshonestidad, sobre el particular queremos manifestar que la cancelación de esas pólizas se ha realizado el 27 de julio del 2007, facturas que ya han sido acompañadas a la firma del contrato, mas es aún hemos remitido en repetidas oportunidades copias de las facturas, para mayor información adjuntamos copias de las facturas”.</w:t>
      </w:r>
    </w:p>
    <w:p w:rsidR="005B2A46" w:rsidRPr="003D0A56" w:rsidRDefault="005B2A46" w:rsidP="005B2A46">
      <w:pPr>
        <w:pStyle w:val="Prrafodelista"/>
        <w:ind w:left="567"/>
        <w:contextualSpacing/>
        <w:jc w:val="both"/>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A través del escrito GG/AF.-0638/2010-EGASA presentado el 09 de junio del 2011, la Entidad informó lo siguiente:</w:t>
      </w:r>
    </w:p>
    <w:p w:rsidR="005B2A46" w:rsidRPr="003D0A56" w:rsidRDefault="005B2A46" w:rsidP="005B2A46">
      <w:pPr>
        <w:pStyle w:val="Prrafodelista"/>
        <w:ind w:left="567"/>
        <w:contextualSpacing/>
        <w:jc w:val="both"/>
        <w:rPr>
          <w:rFonts w:ascii="Tahoma" w:hAnsi="Tahoma" w:cs="Tahoma"/>
          <w:sz w:val="20"/>
        </w:rPr>
      </w:pPr>
    </w:p>
    <w:p w:rsidR="005B2A46" w:rsidRPr="003D0A56" w:rsidRDefault="005B2A46" w:rsidP="005B2A46">
      <w:pPr>
        <w:pStyle w:val="Prrafodelista"/>
        <w:ind w:left="851" w:right="424"/>
        <w:contextualSpacing/>
        <w:jc w:val="both"/>
        <w:rPr>
          <w:rFonts w:ascii="Tahoma" w:hAnsi="Tahoma" w:cs="Tahoma"/>
          <w:i/>
          <w:sz w:val="20"/>
        </w:rPr>
      </w:pPr>
      <w:r w:rsidRPr="003D0A56">
        <w:rPr>
          <w:rFonts w:ascii="Tahoma" w:hAnsi="Tahoma" w:cs="Tahoma"/>
          <w:i/>
          <w:sz w:val="20"/>
        </w:rPr>
        <w:t xml:space="preserve">En relación al servicio prestado en el mes de mayo de 2008, debemos indicarle que la empresa denunciada recién presentó su factura correspondiente a ese mes </w:t>
      </w:r>
      <w:r w:rsidRPr="003D0A56">
        <w:rPr>
          <w:rFonts w:ascii="Tahoma" w:hAnsi="Tahoma" w:cs="Tahoma"/>
          <w:b/>
          <w:i/>
          <w:sz w:val="20"/>
        </w:rPr>
        <w:t>exactamente el 07 de julio de 2008,</w:t>
      </w:r>
      <w:r w:rsidRPr="003D0A56">
        <w:rPr>
          <w:rFonts w:ascii="Tahoma" w:hAnsi="Tahoma" w:cs="Tahoma"/>
          <w:i/>
          <w:sz w:val="20"/>
        </w:rPr>
        <w:t xml:space="preserve"> y que EGASA efectuó el pago de la misma dentro del plazo establecido en el Contrato Nº C.GG.-155/2007-EGASA (se adjunta Factura Nº 001730 en la cual se puede apreciar la fecha de recepción por parte de EGASA y la fecha de pago de la misma.</w:t>
      </w:r>
    </w:p>
    <w:p w:rsidR="005B2A46" w:rsidRPr="003D0A56" w:rsidRDefault="005B2A46" w:rsidP="005B2A46">
      <w:pPr>
        <w:pStyle w:val="Prrafodelista"/>
        <w:ind w:left="851" w:right="424"/>
        <w:contextualSpacing/>
        <w:jc w:val="both"/>
        <w:rPr>
          <w:rFonts w:ascii="Tahoma" w:hAnsi="Tahoma" w:cs="Tahoma"/>
          <w:i/>
          <w:sz w:val="20"/>
        </w:rPr>
      </w:pPr>
      <w:r w:rsidRPr="003D0A56">
        <w:rPr>
          <w:rFonts w:ascii="Tahoma" w:hAnsi="Tahoma" w:cs="Tahoma"/>
          <w:i/>
          <w:sz w:val="20"/>
        </w:rPr>
        <w:t>(…)</w:t>
      </w:r>
    </w:p>
    <w:p w:rsidR="005B2A46" w:rsidRPr="003D0A56" w:rsidRDefault="005B2A46" w:rsidP="005B2A46">
      <w:pPr>
        <w:pStyle w:val="Prrafodelista"/>
        <w:ind w:left="851" w:right="424"/>
        <w:contextualSpacing/>
        <w:jc w:val="both"/>
        <w:rPr>
          <w:rFonts w:ascii="Tahoma" w:hAnsi="Tahoma" w:cs="Tahoma"/>
          <w:i/>
          <w:sz w:val="20"/>
        </w:rPr>
      </w:pPr>
    </w:p>
    <w:p w:rsidR="005B2A46" w:rsidRPr="003D0A56" w:rsidRDefault="005B2A46" w:rsidP="005B2A46">
      <w:pPr>
        <w:pStyle w:val="Prrafodelista"/>
        <w:ind w:left="851" w:right="424"/>
        <w:contextualSpacing/>
        <w:jc w:val="both"/>
        <w:rPr>
          <w:rFonts w:ascii="Tahoma" w:hAnsi="Tahoma" w:cs="Tahoma"/>
          <w:i/>
          <w:sz w:val="20"/>
        </w:rPr>
      </w:pPr>
      <w:r w:rsidRPr="003D0A56">
        <w:rPr>
          <w:rFonts w:ascii="Tahoma" w:hAnsi="Tahoma" w:cs="Tahoma"/>
          <w:i/>
          <w:sz w:val="20"/>
        </w:rPr>
        <w:t>En este sentido, la fecha de pago de la factura se debió a que la empresa Metro Security and Services S.R.L. no cumplió con presentar conjuntamente con su factura la documentación solicitada para la conformidad del servicio por parte del administrador del contrato, tal como lo establecido en las Bases Integradas del proceso y el Contrato.</w:t>
      </w:r>
    </w:p>
    <w:p w:rsidR="005B2A46" w:rsidRPr="003D0A56" w:rsidRDefault="005B2A46" w:rsidP="005B2A46">
      <w:pPr>
        <w:pStyle w:val="Prrafodelista"/>
        <w:ind w:left="851" w:right="424"/>
        <w:contextualSpacing/>
        <w:jc w:val="both"/>
        <w:rPr>
          <w:rFonts w:ascii="Tahoma" w:hAnsi="Tahoma" w:cs="Tahoma"/>
          <w:i/>
          <w:sz w:val="20"/>
        </w:rPr>
      </w:pPr>
    </w:p>
    <w:p w:rsidR="005B2A46" w:rsidRPr="003D0A56" w:rsidRDefault="005B2A46" w:rsidP="005B2A46">
      <w:pPr>
        <w:pStyle w:val="Prrafodelista"/>
        <w:ind w:left="851" w:right="424"/>
        <w:contextualSpacing/>
        <w:jc w:val="both"/>
        <w:rPr>
          <w:rFonts w:ascii="Tahoma" w:hAnsi="Tahoma" w:cs="Tahoma"/>
          <w:i/>
          <w:sz w:val="20"/>
        </w:rPr>
      </w:pPr>
      <w:r w:rsidRPr="003D0A56">
        <w:rPr>
          <w:rFonts w:ascii="Tahoma" w:hAnsi="Tahoma" w:cs="Tahoma"/>
          <w:i/>
          <w:sz w:val="20"/>
        </w:rPr>
        <w:t>En relación a los meses de enero, febrero, marzo y abril de 2008, estos fueron efectivamente abonados, pero siempre con alguna observación; y respecto al mes de junio y 23 días del mes de julio de 2008, se abonaron por disposición del laudo arbitral, pese a que no se acreditó el servicio con la documentación sustentatoria establecida en el Contrato.</w:t>
      </w:r>
    </w:p>
    <w:p w:rsidR="005B2A46" w:rsidRPr="003D0A56" w:rsidRDefault="005B2A46" w:rsidP="005B2A46">
      <w:pPr>
        <w:pStyle w:val="Prrafodelista"/>
        <w:ind w:left="851" w:right="424"/>
        <w:contextualSpacing/>
        <w:jc w:val="both"/>
        <w:rPr>
          <w:rFonts w:ascii="Tahoma" w:hAnsi="Tahoma" w:cs="Tahoma"/>
          <w:i/>
          <w:sz w:val="20"/>
        </w:rPr>
      </w:pPr>
      <w:r w:rsidRPr="003D0A56">
        <w:rPr>
          <w:rFonts w:ascii="Tahoma" w:hAnsi="Tahoma" w:cs="Tahoma"/>
          <w:i/>
          <w:sz w:val="20"/>
        </w:rPr>
        <w:t>(…)</w:t>
      </w:r>
    </w:p>
    <w:p w:rsidR="005B2A46" w:rsidRPr="003D0A56" w:rsidRDefault="005B2A46" w:rsidP="005B2A46">
      <w:pPr>
        <w:pStyle w:val="Prrafodelista"/>
        <w:ind w:left="567"/>
        <w:contextualSpacing/>
        <w:jc w:val="both"/>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Con escrito presentado el 10 el junio del 2011, la Contratista volvió a reiterar lo señalado anteriormente, respecto a que la factura Nº 1730 girada el 10 de junio del 2008, recién fue cancelada el 16 de julio del mismo año, tal como se advierte en la solicitud y cheque de gerencia que acompaña junto a dicha factura.</w:t>
      </w:r>
    </w:p>
    <w:p w:rsidR="005B2A46" w:rsidRPr="003D0A56" w:rsidRDefault="005B2A46" w:rsidP="005B2A46">
      <w:pPr>
        <w:pStyle w:val="Prrafodelista"/>
        <w:ind w:left="567"/>
        <w:contextualSpacing/>
        <w:jc w:val="both"/>
        <w:rPr>
          <w:rFonts w:ascii="Tahoma" w:hAnsi="Tahoma" w:cs="Tahoma"/>
          <w:sz w:val="20"/>
        </w:rPr>
      </w:pPr>
    </w:p>
    <w:p w:rsidR="005B2A46" w:rsidRPr="003D0A56" w:rsidRDefault="005B2A46" w:rsidP="005B2A46">
      <w:pPr>
        <w:pStyle w:val="Prrafodelista"/>
        <w:ind w:left="567"/>
        <w:contextualSpacing/>
        <w:jc w:val="both"/>
        <w:rPr>
          <w:rFonts w:ascii="Tahoma" w:hAnsi="Tahoma" w:cs="Tahoma"/>
          <w:sz w:val="20"/>
        </w:rPr>
      </w:pPr>
      <w:r w:rsidRPr="003D0A56">
        <w:rPr>
          <w:rFonts w:ascii="Tahoma" w:hAnsi="Tahoma" w:cs="Tahoma"/>
          <w:sz w:val="20"/>
        </w:rPr>
        <w:t>Asimismo, señaló que las facturas 1937 y 1940 giradas el 18 de noviembre del 2008, recién fueron canceladas el 23 de setiembre del 2010, en virtud a lo ordenado por el Tribunal Arbitral.</w:t>
      </w:r>
    </w:p>
    <w:p w:rsidR="005B2A46" w:rsidRPr="003D0A56" w:rsidRDefault="005B2A46" w:rsidP="005B2A46">
      <w:pPr>
        <w:pStyle w:val="Prrafodelista"/>
        <w:ind w:left="567"/>
        <w:contextualSpacing/>
        <w:jc w:val="both"/>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Style w:val="Textoennegrita"/>
          <w:rFonts w:ascii="Tahoma" w:hAnsi="Tahoma" w:cs="Tahoma"/>
          <w:b w:val="0"/>
          <w:bCs w:val="0"/>
          <w:sz w:val="20"/>
        </w:rPr>
      </w:pPr>
      <w:r w:rsidRPr="003D0A56">
        <w:rPr>
          <w:rFonts w:ascii="Tahoma" w:hAnsi="Tahoma" w:cs="Tahoma"/>
          <w:sz w:val="20"/>
        </w:rPr>
        <w:t xml:space="preserve">Mediante Resolución Nº 373-2011-OSCE/PRE de fecha 10 de junio del 2011, se reconformó la Primera Sala del Tribunal, designando como Presidente de dicha Sala, a efectos que conozca en exclusividad la materia recaída en el presente expediente, a la vocal </w:t>
      </w:r>
      <w:r w:rsidRPr="003D0A56">
        <w:rPr>
          <w:rStyle w:val="Textoennegrita"/>
          <w:color w:val="000000"/>
          <w:sz w:val="20"/>
        </w:rPr>
        <w:t>Mónica Yadira Yaya Luyo.</w:t>
      </w:r>
    </w:p>
    <w:p w:rsidR="005B2A46" w:rsidRPr="003D0A56" w:rsidRDefault="005B2A46" w:rsidP="005B2A46">
      <w:pPr>
        <w:pStyle w:val="Prrafodelista"/>
        <w:widowControl/>
        <w:suppressAutoHyphens w:val="0"/>
        <w:ind w:left="567"/>
        <w:contextualSpacing/>
        <w:jc w:val="both"/>
        <w:rPr>
          <w:rStyle w:val="Textoennegrita"/>
          <w:rFonts w:ascii="Tahoma" w:hAnsi="Tahoma" w:cs="Tahoma"/>
          <w:b w:val="0"/>
          <w:bCs w:val="0"/>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 xml:space="preserve">Mediante Resolución Nº 998-2011-TC-S1 de fecha 10 de junio de 2011 se resolvió declarar infundado el recurso de reconsideración interpuesto, confirmando lo dispuesto por la Resolución </w:t>
      </w:r>
      <w:r w:rsidRPr="003D0A56">
        <w:rPr>
          <w:rFonts w:ascii="Tahoma" w:hAnsi="Tahoma" w:cs="Tahoma"/>
          <w:color w:val="000000" w:themeColor="text1"/>
          <w:sz w:val="20"/>
        </w:rPr>
        <w:t>Nº 781-2011-TC-S1 de fecha 11 de mayo de 2011</w:t>
      </w:r>
      <w:r w:rsidRPr="003D0A56">
        <w:rPr>
          <w:rFonts w:ascii="Tahoma" w:hAnsi="Tahoma" w:cs="Tahoma"/>
          <w:sz w:val="20"/>
        </w:rPr>
        <w:t xml:space="preserve"> y, por tanto, ratificar la sanción impuesta a la empresa Metro Security and Services SRLtda, de inhabilitación temporal en sus derechos para participar en procesos de selección y contratar con el Estado, por el periodo de dieciséis (16) meses.</w:t>
      </w:r>
    </w:p>
    <w:p w:rsidR="005B2A46" w:rsidRPr="003D0A56" w:rsidRDefault="005B2A46" w:rsidP="005B2A46">
      <w:pPr>
        <w:pStyle w:val="Prrafodelista"/>
        <w:rPr>
          <w:rFonts w:ascii="Tahoma" w:hAnsi="Tahoma" w:cs="Tahoma"/>
          <w:sz w:val="20"/>
        </w:rPr>
      </w:pPr>
    </w:p>
    <w:p w:rsidR="005B2A46" w:rsidRPr="003D0A56" w:rsidRDefault="005B2A46" w:rsidP="005B2A46">
      <w:pPr>
        <w:pStyle w:val="Prrafodelista"/>
        <w:widowControl/>
        <w:numPr>
          <w:ilvl w:val="0"/>
          <w:numId w:val="2"/>
        </w:numPr>
        <w:suppressAutoHyphens w:val="0"/>
        <w:ind w:left="567" w:hanging="567"/>
        <w:contextualSpacing/>
        <w:jc w:val="both"/>
        <w:rPr>
          <w:rFonts w:ascii="Tahoma" w:hAnsi="Tahoma" w:cs="Tahoma"/>
          <w:sz w:val="20"/>
        </w:rPr>
      </w:pPr>
      <w:r w:rsidRPr="003D0A56">
        <w:rPr>
          <w:rFonts w:ascii="Tahoma" w:hAnsi="Tahoma" w:cs="Tahoma"/>
          <w:sz w:val="20"/>
        </w:rPr>
        <w:t>Mediante escrito de fecha 15 de junio de 2011, la empresa Metro Security and Service SRLtda solicita se declare la nulidad de oficio de la Resolución Nº 998-2011-TC-S1 de fecha 10 de junio del 2011 y la Resolución Nº 781-2011-S1 de fecha 11 de mayo de 2011 y se retrotraiga el procedimiento a la etapa en que se fije la audiencia a fin de hacer uso de la palabra a su abogado defensor.</w:t>
      </w:r>
    </w:p>
    <w:p w:rsidR="005B2A46" w:rsidRPr="003D0A56" w:rsidRDefault="005B2A46" w:rsidP="005B2A46">
      <w:pPr>
        <w:contextualSpacing/>
        <w:jc w:val="both"/>
        <w:rPr>
          <w:rFonts w:ascii="Tahoma" w:hAnsi="Tahoma" w:cs="Tahoma"/>
          <w:sz w:val="20"/>
          <w:szCs w:val="20"/>
          <w:lang w:val="es-ES_tradnl"/>
        </w:rPr>
      </w:pPr>
    </w:p>
    <w:p w:rsidR="005B2A46" w:rsidRPr="003D0A56" w:rsidRDefault="005B2A46" w:rsidP="005B2A46">
      <w:pPr>
        <w:pStyle w:val="Prrafodelista"/>
        <w:widowControl/>
        <w:suppressAutoHyphens w:val="0"/>
        <w:ind w:left="567"/>
        <w:jc w:val="both"/>
        <w:rPr>
          <w:rFonts w:ascii="Tahoma" w:hAnsi="Tahoma" w:cs="Tahoma"/>
          <w:b/>
          <w:shadow/>
          <w:sz w:val="20"/>
        </w:rPr>
      </w:pPr>
      <w:r w:rsidRPr="003D0A56">
        <w:rPr>
          <w:rFonts w:ascii="Tahoma" w:hAnsi="Tahoma" w:cs="Tahoma"/>
          <w:b/>
          <w:sz w:val="20"/>
        </w:rPr>
        <w:t>FUNDAMENTACIÓN:</w:t>
      </w:r>
    </w:p>
    <w:p w:rsidR="005B2A46" w:rsidRPr="003D0A56" w:rsidRDefault="005B2A46" w:rsidP="005B2A46">
      <w:pPr>
        <w:pStyle w:val="Prrafodelista"/>
        <w:widowControl/>
        <w:suppressAutoHyphens w:val="0"/>
        <w:ind w:left="567"/>
        <w:jc w:val="both"/>
        <w:rPr>
          <w:rFonts w:ascii="Tahoma" w:hAnsi="Tahoma" w:cs="Tahoma"/>
          <w:b/>
          <w:shadow/>
          <w:sz w:val="20"/>
        </w:rPr>
      </w:pPr>
    </w:p>
    <w:p w:rsidR="005B2A46" w:rsidRPr="003D0A56" w:rsidRDefault="005B2A46" w:rsidP="005B2A46">
      <w:pPr>
        <w:numPr>
          <w:ilvl w:val="0"/>
          <w:numId w:val="10"/>
        </w:numPr>
        <w:ind w:left="567" w:hanging="567"/>
        <w:jc w:val="both"/>
        <w:rPr>
          <w:rFonts w:ascii="Tahoma" w:hAnsi="Tahoma" w:cs="Tahoma"/>
          <w:sz w:val="20"/>
          <w:szCs w:val="20"/>
          <w:lang w:val="es-PE"/>
        </w:rPr>
      </w:pPr>
      <w:r w:rsidRPr="003D0A56">
        <w:rPr>
          <w:rFonts w:ascii="Tahoma" w:hAnsi="Tahoma" w:cs="Tahoma"/>
          <w:sz w:val="20"/>
          <w:szCs w:val="20"/>
          <w:lang w:val="es-PE"/>
        </w:rPr>
        <w:t>La nulidad es entendida como el castigo jurídico para los actos incursos en alguna causal privativa de los efectos jurídicos aspirados por su autor, se produce a consecuencia de un vicio en los elementos constitutivos del acto, los mismos que están regulados de manera taxativa y de interpretación restrictiva en el artículo 10 de la Ley del Procedimiento Administrativo General, Ley Nº 27444.</w:t>
      </w:r>
    </w:p>
    <w:p w:rsidR="005B2A46" w:rsidRPr="003D0A56" w:rsidRDefault="005B2A46" w:rsidP="005B2A46">
      <w:pPr>
        <w:ind w:left="567"/>
        <w:jc w:val="both"/>
        <w:rPr>
          <w:rFonts w:ascii="Tahoma" w:hAnsi="Tahoma" w:cs="Tahoma"/>
          <w:b/>
          <w:sz w:val="20"/>
          <w:szCs w:val="20"/>
          <w:lang w:val="es-PE"/>
        </w:rPr>
      </w:pPr>
    </w:p>
    <w:p w:rsidR="005B2A46" w:rsidRPr="003D0A56" w:rsidRDefault="005B2A46" w:rsidP="005B2A46">
      <w:pPr>
        <w:numPr>
          <w:ilvl w:val="0"/>
          <w:numId w:val="10"/>
        </w:numPr>
        <w:ind w:left="567" w:hanging="567"/>
        <w:jc w:val="both"/>
        <w:rPr>
          <w:rFonts w:ascii="Tahoma" w:hAnsi="Tahoma" w:cs="Tahoma"/>
          <w:b/>
          <w:sz w:val="20"/>
          <w:szCs w:val="20"/>
          <w:lang w:val="es-PE"/>
        </w:rPr>
      </w:pPr>
      <w:r w:rsidRPr="003D0A56">
        <w:rPr>
          <w:rFonts w:ascii="Tahoma" w:hAnsi="Tahoma" w:cs="Tahoma"/>
          <w:sz w:val="20"/>
          <w:szCs w:val="20"/>
          <w:lang w:val="es-PE"/>
        </w:rPr>
        <w:t xml:space="preserve">En ese sentido, la empresa Metro Security and Services </w:t>
      </w:r>
      <w:r w:rsidRPr="003D0A56">
        <w:rPr>
          <w:rFonts w:ascii="Tahoma" w:hAnsi="Tahoma" w:cs="Tahoma"/>
          <w:sz w:val="20"/>
          <w:szCs w:val="20"/>
        </w:rPr>
        <w:t>SRLtda</w:t>
      </w:r>
      <w:r w:rsidRPr="003D0A56">
        <w:rPr>
          <w:rFonts w:ascii="Tahoma" w:hAnsi="Tahoma" w:cs="Tahoma"/>
          <w:sz w:val="20"/>
          <w:szCs w:val="20"/>
          <w:lang w:val="es-PE"/>
        </w:rPr>
        <w:t xml:space="preserve"> solicitó que se declare la </w:t>
      </w:r>
      <w:r w:rsidRPr="003D0A56">
        <w:rPr>
          <w:rFonts w:ascii="Tahoma" w:hAnsi="Tahoma" w:cs="Tahoma"/>
          <w:sz w:val="20"/>
          <w:szCs w:val="20"/>
        </w:rPr>
        <w:t>nulidad de de la Resolución Nº 998-2011-TC-S1 de fecha 10 de junio de 2011 y la Resolución Nº 781-2011-</w:t>
      </w:r>
      <w:r w:rsidR="006F1524">
        <w:rPr>
          <w:rFonts w:ascii="Tahoma" w:hAnsi="Tahoma" w:cs="Tahoma"/>
          <w:sz w:val="20"/>
          <w:szCs w:val="20"/>
        </w:rPr>
        <w:t>TC</w:t>
      </w:r>
      <w:r w:rsidRPr="003D0A56">
        <w:rPr>
          <w:rFonts w:ascii="Tahoma" w:hAnsi="Tahoma" w:cs="Tahoma"/>
          <w:sz w:val="20"/>
          <w:szCs w:val="20"/>
        </w:rPr>
        <w:t>S1 de fecha 11 de mayo de 2011, toda vez que del procedimiento resuelto mediante la Resolución Nº</w:t>
      </w:r>
      <w:r w:rsidR="006F1524">
        <w:rPr>
          <w:rFonts w:ascii="Tahoma" w:hAnsi="Tahoma" w:cs="Tahoma"/>
          <w:sz w:val="20"/>
          <w:szCs w:val="20"/>
        </w:rPr>
        <w:t xml:space="preserve"> </w:t>
      </w:r>
      <w:r w:rsidRPr="003D0A56">
        <w:rPr>
          <w:rFonts w:ascii="Tahoma" w:hAnsi="Tahoma" w:cs="Tahoma"/>
          <w:sz w:val="20"/>
          <w:szCs w:val="20"/>
        </w:rPr>
        <w:t>781-2011-</w:t>
      </w:r>
      <w:r w:rsidR="006F1524">
        <w:rPr>
          <w:rFonts w:ascii="Tahoma" w:hAnsi="Tahoma" w:cs="Tahoma"/>
          <w:sz w:val="20"/>
          <w:szCs w:val="20"/>
        </w:rPr>
        <w:t>TC-</w:t>
      </w:r>
      <w:r w:rsidRPr="003D0A56">
        <w:rPr>
          <w:rFonts w:ascii="Tahoma" w:hAnsi="Tahoma" w:cs="Tahoma"/>
          <w:sz w:val="20"/>
          <w:szCs w:val="20"/>
        </w:rPr>
        <w:t>S1 de fecha 11 de mayo de 2011</w:t>
      </w:r>
      <w:r w:rsidRPr="003D0A56">
        <w:rPr>
          <w:rFonts w:ascii="Tahoma" w:hAnsi="Tahoma" w:cs="Tahoma"/>
          <w:sz w:val="20"/>
          <w:szCs w:val="20"/>
          <w:lang w:val="es-PE"/>
        </w:rPr>
        <w:t xml:space="preserve">, fue emitida sin audiencia previa, habiéndosele, de este modo, impedido ejercer su derecho de defensa y vulnerado el debido proceso que subyace a todo procedimiento administrativo. En ese sentido, señala no debió convocarse a nueva audiencia durante el procedimiento que se resolvió mediante la </w:t>
      </w:r>
      <w:r w:rsidRPr="003D0A56">
        <w:rPr>
          <w:rFonts w:ascii="Tahoma" w:hAnsi="Tahoma" w:cs="Tahoma"/>
          <w:sz w:val="20"/>
          <w:szCs w:val="20"/>
        </w:rPr>
        <w:t xml:space="preserve">Resolución Nº 998-2011-TC-S1, toda vez que la causal de nulidad no desaparece si en el trámite del recurso de reconsideración se convoca a audiencia pública. </w:t>
      </w:r>
      <w:r w:rsidRPr="003D0A56">
        <w:rPr>
          <w:rFonts w:ascii="Tahoma" w:hAnsi="Tahoma" w:cs="Tahoma"/>
          <w:sz w:val="20"/>
          <w:szCs w:val="20"/>
          <w:lang w:val="es-PE"/>
        </w:rPr>
        <w:t>En consecuencia, sostuvo, corresponde deducir la nulidad de ambas resoluciones, al haberse quebrantado las mínimas garantías dentro de las cuales debió haberse tramitado el procedimiento en curso.</w:t>
      </w:r>
    </w:p>
    <w:p w:rsidR="005B2A46" w:rsidRPr="003D0A56" w:rsidRDefault="005B2A46" w:rsidP="005B2A46">
      <w:pPr>
        <w:pStyle w:val="Prrafodelista"/>
        <w:rPr>
          <w:rFonts w:ascii="Tahoma" w:hAnsi="Tahoma" w:cs="Tahoma"/>
          <w:b/>
          <w:sz w:val="20"/>
          <w:lang w:val="es-PE"/>
        </w:rPr>
      </w:pPr>
    </w:p>
    <w:p w:rsidR="005B2A46" w:rsidRPr="003D0A56" w:rsidRDefault="005B2A46" w:rsidP="005B2A46">
      <w:pPr>
        <w:numPr>
          <w:ilvl w:val="0"/>
          <w:numId w:val="10"/>
        </w:numPr>
        <w:ind w:left="567" w:hanging="567"/>
        <w:jc w:val="both"/>
        <w:rPr>
          <w:rFonts w:ascii="Tahoma" w:hAnsi="Tahoma" w:cs="Tahoma"/>
          <w:sz w:val="20"/>
          <w:szCs w:val="20"/>
          <w:lang w:val="es-PE"/>
        </w:rPr>
      </w:pPr>
      <w:r w:rsidRPr="003D0A56">
        <w:rPr>
          <w:rFonts w:ascii="Tahoma" w:hAnsi="Tahoma" w:cs="Tahoma"/>
          <w:sz w:val="20"/>
          <w:szCs w:val="20"/>
          <w:lang w:val="es-PE"/>
        </w:rPr>
        <w:t xml:space="preserve">De esta manera entonces, con la solicitud efectuada por la empresa </w:t>
      </w:r>
      <w:r w:rsidRPr="003D0A56">
        <w:rPr>
          <w:rFonts w:ascii="Tahoma" w:hAnsi="Tahoma" w:cs="Tahoma"/>
          <w:sz w:val="20"/>
          <w:szCs w:val="20"/>
        </w:rPr>
        <w:t>METRO SECURITY AND SERVICES SRLtda.</w:t>
      </w:r>
      <w:r w:rsidRPr="003D0A56">
        <w:rPr>
          <w:rFonts w:ascii="Tahoma" w:hAnsi="Tahoma" w:cs="Tahoma"/>
          <w:sz w:val="20"/>
          <w:szCs w:val="20"/>
          <w:lang w:val="es-PE"/>
        </w:rPr>
        <w:t>, a este Colegiado le que corresponde hacer el análisis correspondiente.</w:t>
      </w:r>
    </w:p>
    <w:p w:rsidR="005B2A46" w:rsidRPr="003D0A56" w:rsidRDefault="005B2A46" w:rsidP="005B2A46">
      <w:pPr>
        <w:jc w:val="both"/>
        <w:rPr>
          <w:rFonts w:ascii="Tahoma" w:hAnsi="Tahoma" w:cs="Tahoma"/>
          <w:sz w:val="20"/>
          <w:szCs w:val="20"/>
          <w:lang w:val="es-PE"/>
        </w:rPr>
      </w:pPr>
    </w:p>
    <w:p w:rsidR="005B2A46" w:rsidRPr="003D0A56" w:rsidRDefault="005B2A46" w:rsidP="005B2A46">
      <w:pPr>
        <w:numPr>
          <w:ilvl w:val="0"/>
          <w:numId w:val="10"/>
        </w:numPr>
        <w:ind w:left="567" w:hanging="567"/>
        <w:jc w:val="both"/>
        <w:rPr>
          <w:rFonts w:ascii="Tahoma" w:hAnsi="Tahoma" w:cs="Tahoma"/>
          <w:sz w:val="20"/>
          <w:szCs w:val="20"/>
          <w:lang w:val="es-PE"/>
        </w:rPr>
      </w:pPr>
      <w:r w:rsidRPr="003D0A56">
        <w:rPr>
          <w:rFonts w:ascii="Tahoma" w:hAnsi="Tahoma" w:cs="Tahoma"/>
          <w:sz w:val="20"/>
          <w:szCs w:val="20"/>
          <w:lang w:val="es-PE"/>
        </w:rPr>
        <w:t>Para ello, es preciso remitirnos al inciso 3 del artículo 139 de la Constitución Política del Perú, que ha consagrado el derecho al debido proceso como garantía constitucional de rango supralegal, y bajo el cual debe estar inspirado todo procedimiento seguido ante cualquier organismo, órgano o autoridad pública, sea de índole judicial, administrativa o, incluso, en determinadas relaciones entre particulares a nivel organizacional</w:t>
      </w:r>
      <w:r w:rsidRPr="003D0A56">
        <w:rPr>
          <w:rStyle w:val="Refdenotaalpie"/>
          <w:rFonts w:ascii="Tahoma" w:hAnsi="Tahoma" w:cs="Tahoma"/>
          <w:sz w:val="20"/>
          <w:szCs w:val="20"/>
        </w:rPr>
        <w:footnoteReference w:id="2"/>
      </w:r>
      <w:r w:rsidRPr="003D0A56">
        <w:rPr>
          <w:rFonts w:ascii="Tahoma" w:hAnsi="Tahoma" w:cs="Tahoma"/>
          <w:sz w:val="20"/>
          <w:szCs w:val="20"/>
          <w:lang w:val="es-PE"/>
        </w:rPr>
        <w:t>.</w:t>
      </w:r>
    </w:p>
    <w:p w:rsidR="005B2A46" w:rsidRPr="003D0A56" w:rsidRDefault="005B2A46" w:rsidP="005B2A46">
      <w:pPr>
        <w:pStyle w:val="Prrafodelista"/>
        <w:rPr>
          <w:rFonts w:ascii="Tahoma" w:hAnsi="Tahoma" w:cs="Tahoma"/>
          <w:sz w:val="20"/>
          <w:lang w:val="es-ES"/>
        </w:rPr>
      </w:pPr>
    </w:p>
    <w:p w:rsidR="005B2A46" w:rsidRPr="003D0A56" w:rsidRDefault="005B2A46" w:rsidP="005B2A46">
      <w:pPr>
        <w:numPr>
          <w:ilvl w:val="0"/>
          <w:numId w:val="10"/>
        </w:numPr>
        <w:ind w:left="567" w:hanging="567"/>
        <w:jc w:val="both"/>
        <w:rPr>
          <w:rFonts w:ascii="Tahoma" w:hAnsi="Tahoma" w:cs="Tahoma"/>
          <w:sz w:val="20"/>
          <w:szCs w:val="20"/>
          <w:lang w:val="es-PE"/>
        </w:rPr>
      </w:pPr>
      <w:r w:rsidRPr="003D0A56">
        <w:rPr>
          <w:rFonts w:ascii="Tahoma" w:hAnsi="Tahoma" w:cs="Tahoma"/>
          <w:sz w:val="20"/>
          <w:szCs w:val="20"/>
        </w:rPr>
        <w:t xml:space="preserve">Entendido como un derecho constitucionalmente reconocido, la expresión del debido proceso en sede administrativa se sustenta en el </w:t>
      </w:r>
      <w:r w:rsidRPr="003D0A56">
        <w:rPr>
          <w:rFonts w:ascii="Tahoma" w:hAnsi="Tahoma" w:cs="Tahoma"/>
          <w:i/>
          <w:sz w:val="20"/>
          <w:szCs w:val="20"/>
        </w:rPr>
        <w:t>Principio del Debido Procedimiento</w:t>
      </w:r>
      <w:r w:rsidRPr="003D0A56">
        <w:rPr>
          <w:rFonts w:ascii="Tahoma" w:hAnsi="Tahoma" w:cs="Tahoma"/>
          <w:sz w:val="20"/>
          <w:szCs w:val="20"/>
        </w:rPr>
        <w:t xml:space="preserve">, recogido en el numeral 1.2 del Artículo IV de la Ley № 27444, Ley del Procedimiento Administrativo General, y por medio del cual </w:t>
      </w:r>
      <w:r w:rsidRPr="003D0A56">
        <w:rPr>
          <w:rFonts w:ascii="Tahoma" w:hAnsi="Tahoma" w:cs="Tahoma"/>
          <w:sz w:val="20"/>
          <w:szCs w:val="20"/>
          <w:lang w:val="es-PE"/>
        </w:rPr>
        <w:t>los administrados gozan de todos los derechos y garantías inherentes al debido proceso, que comprende el derecho a exponer sus argumentos, a ofrecer pruebas y a obtener una decisión motivada y fundada en derecho.</w:t>
      </w:r>
    </w:p>
    <w:p w:rsidR="005B2A46" w:rsidRPr="003D0A56" w:rsidRDefault="005B2A46" w:rsidP="005B2A46">
      <w:pPr>
        <w:pStyle w:val="Prrafodelista"/>
        <w:rPr>
          <w:rFonts w:ascii="Tahoma" w:hAnsi="Tahoma" w:cs="Tahoma"/>
          <w:sz w:val="20"/>
          <w:lang w:val="es-PE"/>
        </w:rPr>
      </w:pPr>
    </w:p>
    <w:p w:rsidR="005B2A46" w:rsidRPr="003D0A56" w:rsidRDefault="005B2A46" w:rsidP="005B2A46">
      <w:pPr>
        <w:numPr>
          <w:ilvl w:val="0"/>
          <w:numId w:val="10"/>
        </w:numPr>
        <w:ind w:left="567" w:hanging="567"/>
        <w:jc w:val="both"/>
        <w:rPr>
          <w:rFonts w:ascii="Tahoma" w:hAnsi="Tahoma" w:cs="Tahoma"/>
          <w:sz w:val="20"/>
          <w:szCs w:val="20"/>
          <w:lang w:val="es-PE"/>
        </w:rPr>
      </w:pPr>
      <w:r w:rsidRPr="003D0A56">
        <w:rPr>
          <w:rFonts w:ascii="Tahoma" w:hAnsi="Tahoma" w:cs="Tahoma"/>
          <w:sz w:val="20"/>
          <w:szCs w:val="20"/>
          <w:lang w:val="es-PE"/>
        </w:rPr>
        <w:t xml:space="preserve">En la misma línea, para los procedimientos administrativos sancionadores, el numeral 2 del artículo 230 de la Ley referida, establece que las Entidades aplicarán sanciones sujetándose al procedimiento establecido, respetando las garantías del debido proceso. </w:t>
      </w:r>
    </w:p>
    <w:p w:rsidR="005B2A46" w:rsidRPr="003D0A56" w:rsidRDefault="005B2A46" w:rsidP="005B2A46">
      <w:pPr>
        <w:pStyle w:val="Prrafodelista"/>
        <w:rPr>
          <w:rFonts w:ascii="Tahoma" w:hAnsi="Tahoma" w:cs="Tahoma"/>
          <w:sz w:val="20"/>
          <w:lang w:val="es-PE"/>
        </w:rPr>
      </w:pPr>
    </w:p>
    <w:p w:rsidR="005B2A46" w:rsidRPr="003D0A56" w:rsidRDefault="005B2A46" w:rsidP="005B2A46">
      <w:pPr>
        <w:numPr>
          <w:ilvl w:val="0"/>
          <w:numId w:val="10"/>
        </w:numPr>
        <w:ind w:left="567" w:hanging="567"/>
        <w:jc w:val="both"/>
        <w:rPr>
          <w:rFonts w:ascii="Tahoma" w:hAnsi="Tahoma" w:cs="Tahoma"/>
          <w:sz w:val="20"/>
          <w:szCs w:val="20"/>
          <w:lang w:val="es-PE"/>
        </w:rPr>
      </w:pPr>
      <w:r w:rsidRPr="003D0A56">
        <w:rPr>
          <w:rFonts w:ascii="Tahoma" w:hAnsi="Tahoma" w:cs="Tahoma"/>
          <w:sz w:val="20"/>
          <w:szCs w:val="20"/>
          <w:lang w:val="es-PE"/>
        </w:rPr>
        <w:t>Por su parte el Tribunal Constitucional, ha señalado que «</w:t>
      </w:r>
      <w:r w:rsidRPr="003D0A56">
        <w:rPr>
          <w:rFonts w:ascii="Tahoma" w:hAnsi="Tahoma" w:cs="Tahoma"/>
          <w:i/>
          <w:sz w:val="20"/>
          <w:szCs w:val="20"/>
        </w:rPr>
        <w:t>El debido procedimiento en sede administrativa supone una garantía genérica que resguarda los derechos del administrado durante la actuación del poder de sanción de la administración. Implica, por ello, el sometimiento de la actuación administrativa a reglas previamente establecidas, las cuales no pueden significar restricciones a las posibilidades de defensa del administrado y menos aún condicionamientos para que tales prerrogativas puedan ser ejercitadas en la práctica</w:t>
      </w:r>
      <w:r w:rsidRPr="003D0A56">
        <w:rPr>
          <w:rFonts w:ascii="Tahoma" w:hAnsi="Tahoma" w:cs="Tahoma"/>
          <w:sz w:val="20"/>
          <w:szCs w:val="20"/>
          <w:lang w:val="es-PE"/>
        </w:rPr>
        <w:t>»</w:t>
      </w:r>
      <w:r w:rsidRPr="003D0A56">
        <w:rPr>
          <w:rStyle w:val="Refdenotaalpie"/>
          <w:rFonts w:ascii="Tahoma" w:hAnsi="Tahoma" w:cs="Tahoma"/>
          <w:sz w:val="20"/>
          <w:szCs w:val="20"/>
        </w:rPr>
        <w:footnoteReference w:id="3"/>
      </w:r>
      <w:r w:rsidRPr="003D0A56">
        <w:rPr>
          <w:rFonts w:ascii="Tahoma" w:hAnsi="Tahoma" w:cs="Tahoma"/>
          <w:sz w:val="20"/>
          <w:szCs w:val="20"/>
          <w:lang w:val="es-PE"/>
        </w:rPr>
        <w:t xml:space="preserve">. </w:t>
      </w:r>
    </w:p>
    <w:p w:rsidR="005B2A46" w:rsidRPr="003D0A56" w:rsidRDefault="005B2A46" w:rsidP="005B2A46">
      <w:pPr>
        <w:pStyle w:val="Prrafodelista"/>
        <w:rPr>
          <w:rFonts w:ascii="Tahoma" w:hAnsi="Tahoma" w:cs="Tahoma"/>
          <w:sz w:val="20"/>
          <w:lang w:val="es-PE"/>
        </w:rPr>
      </w:pPr>
    </w:p>
    <w:p w:rsidR="005B2A46" w:rsidRPr="003D0A56" w:rsidRDefault="005B2A46" w:rsidP="005B2A46">
      <w:pPr>
        <w:numPr>
          <w:ilvl w:val="0"/>
          <w:numId w:val="10"/>
        </w:numPr>
        <w:ind w:left="567" w:hanging="567"/>
        <w:jc w:val="both"/>
        <w:rPr>
          <w:rFonts w:ascii="Tahoma" w:hAnsi="Tahoma" w:cs="Tahoma"/>
          <w:sz w:val="20"/>
          <w:szCs w:val="20"/>
          <w:lang w:val="es-PE"/>
        </w:rPr>
      </w:pPr>
      <w:r w:rsidRPr="003D0A56">
        <w:rPr>
          <w:rFonts w:ascii="Tahoma" w:hAnsi="Tahoma" w:cs="Tahoma"/>
          <w:sz w:val="20"/>
          <w:szCs w:val="20"/>
          <w:lang w:val="es-PE"/>
        </w:rPr>
        <w:t xml:space="preserve">Conforme se aprecia, el debido proceso en sede administrativa reconoce el derecho de defensa del que gozan los administrados y que, en el marco de los procedimientos sancionadores, alcanza </w:t>
      </w:r>
      <w:r w:rsidRPr="003D0A56">
        <w:rPr>
          <w:rFonts w:ascii="Tahoma" w:hAnsi="Tahoma" w:cs="Tahoma"/>
          <w:b/>
          <w:i/>
          <w:sz w:val="20"/>
          <w:szCs w:val="20"/>
          <w:lang w:val="es-PE"/>
        </w:rPr>
        <w:t>la posibilidad</w:t>
      </w:r>
      <w:r w:rsidRPr="003D0A56">
        <w:rPr>
          <w:rFonts w:ascii="Tahoma" w:hAnsi="Tahoma" w:cs="Tahoma"/>
          <w:sz w:val="20"/>
          <w:szCs w:val="20"/>
          <w:lang w:val="es-PE"/>
        </w:rPr>
        <w:t xml:space="preserve"> de que aquéllos formulen sus descargos frente a las imputaciones incoadas en su contra y, de ser el caso, ejerzan sus alegatos en audiencia pública. </w:t>
      </w:r>
    </w:p>
    <w:p w:rsidR="005B2A46" w:rsidRPr="003D0A56" w:rsidRDefault="005B2A46" w:rsidP="005B2A46">
      <w:pPr>
        <w:pStyle w:val="Prrafodelista"/>
        <w:rPr>
          <w:rFonts w:ascii="Tahoma" w:hAnsi="Tahoma" w:cs="Tahoma"/>
          <w:sz w:val="20"/>
          <w:lang w:val="es-PE"/>
        </w:rPr>
      </w:pPr>
    </w:p>
    <w:p w:rsidR="005B2A46" w:rsidRPr="003D0A56" w:rsidRDefault="005B2A46" w:rsidP="005B2A46">
      <w:pPr>
        <w:numPr>
          <w:ilvl w:val="0"/>
          <w:numId w:val="10"/>
        </w:numPr>
        <w:ind w:left="567" w:hanging="567"/>
        <w:jc w:val="both"/>
        <w:rPr>
          <w:rFonts w:ascii="Tahoma" w:hAnsi="Tahoma" w:cs="Tahoma"/>
          <w:sz w:val="20"/>
          <w:szCs w:val="20"/>
          <w:lang w:val="es-PE"/>
        </w:rPr>
      </w:pPr>
      <w:r w:rsidRPr="003D0A56">
        <w:rPr>
          <w:rFonts w:ascii="Tahoma" w:hAnsi="Tahoma" w:cs="Tahoma"/>
          <w:sz w:val="20"/>
          <w:szCs w:val="20"/>
          <w:lang w:val="es-PE"/>
        </w:rPr>
        <w:t>De lo señalado anteriormente, cuando un acto administrativo afecta el debido procedimiento durante la actuación de poder de la administración, se estaría configurando la causal de nulidad regulada en el numeral 1) del Artículo 10 de la Ley del Procedimiento Administrativo General, toda vez que se estaría contraviniendo la Constitución y las leyes.</w:t>
      </w:r>
    </w:p>
    <w:p w:rsidR="005B2A46" w:rsidRPr="003D0A56" w:rsidRDefault="005B2A46" w:rsidP="005B2A46">
      <w:pPr>
        <w:ind w:left="567"/>
        <w:jc w:val="both"/>
        <w:rPr>
          <w:rFonts w:ascii="Tahoma" w:hAnsi="Tahoma" w:cs="Tahoma"/>
          <w:sz w:val="20"/>
          <w:szCs w:val="20"/>
          <w:lang w:val="es-PE"/>
        </w:rPr>
      </w:pPr>
    </w:p>
    <w:p w:rsidR="005B2A46" w:rsidRPr="003D0A56" w:rsidRDefault="005B2A46" w:rsidP="005B2A46">
      <w:pPr>
        <w:numPr>
          <w:ilvl w:val="0"/>
          <w:numId w:val="10"/>
        </w:numPr>
        <w:ind w:left="567" w:hanging="567"/>
        <w:jc w:val="both"/>
        <w:rPr>
          <w:rFonts w:ascii="Tahoma" w:hAnsi="Tahoma" w:cs="Tahoma"/>
          <w:sz w:val="20"/>
          <w:szCs w:val="20"/>
          <w:lang w:val="es-PE"/>
        </w:rPr>
      </w:pPr>
      <w:r w:rsidRPr="003D0A56">
        <w:rPr>
          <w:rFonts w:ascii="Tahoma" w:hAnsi="Tahoma" w:cs="Tahoma"/>
          <w:sz w:val="20"/>
          <w:szCs w:val="20"/>
          <w:lang w:val="es-PE"/>
        </w:rPr>
        <w:t xml:space="preserve">Estando a lo expuesto, en el presente caso, se aprecia que </w:t>
      </w:r>
      <w:r w:rsidRPr="003D0A56">
        <w:rPr>
          <w:rFonts w:ascii="Tahoma" w:hAnsi="Tahoma" w:cs="Tahoma"/>
          <w:sz w:val="20"/>
          <w:szCs w:val="20"/>
        </w:rPr>
        <w:t>mediante decreto de fecha 25 de mayo del 2010, se programó audiencia pública para el día 30 de mayo de 2011. Sin embargo esta no se llevó a cabo, debido a que la empresa Metro Security and Services SRLtda. solicitó reprogramación de audiencia debido a que su abogado defensor se encontraba delicado de salud y no podía asistir a la audiencia programada, adjuntando como medio probatorio de lo alegado el correspondiente certificado de descanso médico.</w:t>
      </w:r>
    </w:p>
    <w:p w:rsidR="005B2A46" w:rsidRPr="003D0A56" w:rsidRDefault="005B2A46" w:rsidP="005B2A46">
      <w:pPr>
        <w:pStyle w:val="Prrafodelista"/>
        <w:rPr>
          <w:rFonts w:ascii="Tahoma" w:hAnsi="Tahoma" w:cs="Tahoma"/>
          <w:sz w:val="20"/>
          <w:lang w:val="es-PE"/>
        </w:rPr>
      </w:pPr>
    </w:p>
    <w:p w:rsidR="005B2A46" w:rsidRPr="003D0A56" w:rsidRDefault="005B2A46" w:rsidP="005B2A46">
      <w:pPr>
        <w:ind w:left="567"/>
        <w:jc w:val="both"/>
        <w:rPr>
          <w:rFonts w:ascii="Tahoma" w:hAnsi="Tahoma" w:cs="Tahoma"/>
          <w:sz w:val="20"/>
          <w:szCs w:val="20"/>
          <w:lang w:val="es-PE"/>
        </w:rPr>
      </w:pPr>
    </w:p>
    <w:p w:rsidR="005B2A46" w:rsidRPr="003D0A56" w:rsidRDefault="005B2A46" w:rsidP="005B2A46">
      <w:pPr>
        <w:numPr>
          <w:ilvl w:val="0"/>
          <w:numId w:val="10"/>
        </w:numPr>
        <w:ind w:left="567" w:hanging="567"/>
        <w:jc w:val="both"/>
        <w:rPr>
          <w:rFonts w:ascii="Tahoma" w:hAnsi="Tahoma" w:cs="Tahoma"/>
          <w:sz w:val="20"/>
          <w:szCs w:val="20"/>
          <w:lang w:val="es-PE"/>
        </w:rPr>
      </w:pPr>
      <w:r w:rsidRPr="003D0A56">
        <w:rPr>
          <w:rFonts w:ascii="Tahoma" w:hAnsi="Tahoma" w:cs="Tahoma"/>
          <w:sz w:val="20"/>
          <w:szCs w:val="20"/>
        </w:rPr>
        <w:lastRenderedPageBreak/>
        <w:t xml:space="preserve">Es así que mediante decreto de fecha 30 de mayo de 2011, accediendo a la solicitud planteada se señaló nueva fecha para la realización de la Audiencia Pública, fijándose ésta para el día 06 de junio de 2011. </w:t>
      </w:r>
    </w:p>
    <w:p w:rsidR="005B2A46" w:rsidRPr="003D0A56" w:rsidRDefault="005B2A46" w:rsidP="005B2A46">
      <w:pPr>
        <w:pStyle w:val="Prrafodelista"/>
        <w:rPr>
          <w:rFonts w:ascii="Tahoma" w:hAnsi="Tahoma" w:cs="Tahoma"/>
          <w:sz w:val="20"/>
          <w:lang w:val="es-PE"/>
        </w:rPr>
      </w:pPr>
    </w:p>
    <w:p w:rsidR="005B2A46" w:rsidRPr="003D0A56" w:rsidRDefault="005B2A46" w:rsidP="005B2A46">
      <w:pPr>
        <w:numPr>
          <w:ilvl w:val="0"/>
          <w:numId w:val="10"/>
        </w:numPr>
        <w:ind w:left="567" w:hanging="567"/>
        <w:jc w:val="both"/>
        <w:rPr>
          <w:rFonts w:ascii="Tahoma" w:hAnsi="Tahoma" w:cs="Tahoma"/>
          <w:sz w:val="20"/>
          <w:szCs w:val="20"/>
          <w:lang w:val="es-PE"/>
        </w:rPr>
      </w:pPr>
      <w:r w:rsidRPr="003D0A56">
        <w:rPr>
          <w:rFonts w:ascii="Tahoma" w:hAnsi="Tahoma" w:cs="Tahoma"/>
          <w:sz w:val="20"/>
          <w:szCs w:val="20"/>
        </w:rPr>
        <w:t>Ahora bien, la empresa Metro Security and Services SRLtda. ha señalado que dicha audiencia pública programada para el día 06 de junio de 2011 no podía llevarse a cabo debido a que su abogado se encontraba con descanso médico hasta el 10 de junio de 2011, por lo que solicitó se reprograme nuevamente la audiencia solicitada.</w:t>
      </w:r>
    </w:p>
    <w:p w:rsidR="005B2A46" w:rsidRPr="003D0A56" w:rsidRDefault="005B2A46" w:rsidP="005B2A46">
      <w:pPr>
        <w:pStyle w:val="Prrafodelista"/>
        <w:rPr>
          <w:rFonts w:ascii="Tahoma" w:hAnsi="Tahoma" w:cs="Tahoma"/>
          <w:color w:val="000000" w:themeColor="text1"/>
          <w:sz w:val="20"/>
          <w:lang w:val="es-PE"/>
        </w:rPr>
      </w:pPr>
    </w:p>
    <w:p w:rsidR="005B2A46" w:rsidRPr="003D0A56" w:rsidRDefault="005B2A46" w:rsidP="005B2A46">
      <w:pPr>
        <w:numPr>
          <w:ilvl w:val="0"/>
          <w:numId w:val="10"/>
        </w:numPr>
        <w:ind w:left="567" w:hanging="567"/>
        <w:jc w:val="both"/>
        <w:rPr>
          <w:rFonts w:ascii="Tahoma" w:hAnsi="Tahoma" w:cs="Tahoma"/>
          <w:sz w:val="20"/>
          <w:szCs w:val="20"/>
          <w:lang w:val="es-PE"/>
        </w:rPr>
      </w:pPr>
      <w:r w:rsidRPr="003D0A56">
        <w:rPr>
          <w:rFonts w:ascii="Tahoma" w:hAnsi="Tahoma" w:cs="Tahoma"/>
          <w:color w:val="000000" w:themeColor="text1"/>
          <w:sz w:val="20"/>
          <w:szCs w:val="20"/>
          <w:lang w:val="es-PE"/>
        </w:rPr>
        <w:t xml:space="preserve">Respecto a ello, mediante decreto del 06 de junio de 2011, se señaló que, </w:t>
      </w:r>
      <w:r w:rsidRPr="003D0A56">
        <w:rPr>
          <w:rFonts w:ascii="Arial" w:hAnsi="Arial" w:cs="Arial"/>
          <w:color w:val="000000"/>
          <w:sz w:val="20"/>
          <w:szCs w:val="20"/>
        </w:rPr>
        <w:t>considerando que este Tribunal cuenta con plazos perentorios para resolver el recurso de reconsideración conforme lo establece el artículo N° 249 del Reglamento de Contrataciones del Estado aprobado mediante Decreto Supremo N° 184-2008-EF, y quedando expedito su derecho de formular sus alegatos por escrito conforme lo establece el numeral 1 del artículo 161 de la Ley de Procedimiento Administrativo General- Ley  N° 27444,  se declaraba no ha lugar a la solicitud formulada por la recurrente; con conocimiento de las partes.</w:t>
      </w:r>
    </w:p>
    <w:p w:rsidR="005B2A46" w:rsidRPr="003D0A56" w:rsidRDefault="005B2A46" w:rsidP="005B2A46">
      <w:pPr>
        <w:jc w:val="both"/>
        <w:rPr>
          <w:rFonts w:ascii="Tahoma" w:hAnsi="Tahoma" w:cs="Tahoma"/>
          <w:sz w:val="20"/>
          <w:szCs w:val="20"/>
          <w:lang w:val="es-PE"/>
        </w:rPr>
      </w:pPr>
    </w:p>
    <w:p w:rsidR="005B2A46" w:rsidRPr="003D0A56" w:rsidRDefault="005B2A46" w:rsidP="005B2A46">
      <w:pPr>
        <w:ind w:left="567"/>
        <w:jc w:val="both"/>
        <w:rPr>
          <w:rFonts w:ascii="Tahoma" w:hAnsi="Tahoma" w:cs="Tahoma"/>
          <w:sz w:val="20"/>
          <w:szCs w:val="20"/>
          <w:lang w:val="es-PE"/>
        </w:rPr>
      </w:pPr>
      <w:r w:rsidRPr="003D0A56">
        <w:rPr>
          <w:rFonts w:ascii="Tahoma" w:hAnsi="Tahoma" w:cs="Tahoma"/>
          <w:color w:val="000000" w:themeColor="text1"/>
          <w:sz w:val="20"/>
          <w:szCs w:val="20"/>
          <w:lang w:val="es-PE"/>
        </w:rPr>
        <w:t xml:space="preserve">En ese sentido, del acta de audiencia se puede advertir que la razón por la cual se declaró frustrada la Audiencia Pública de fecha 06 de junio de 2011, es porque </w:t>
      </w:r>
      <w:r w:rsidRPr="003D0A56">
        <w:rPr>
          <w:rFonts w:ascii="Tahoma" w:hAnsi="Tahoma" w:cs="Tahoma"/>
          <w:sz w:val="20"/>
          <w:szCs w:val="20"/>
          <w:lang w:val="es-PE"/>
        </w:rPr>
        <w:t xml:space="preserve">tanto la Entidad como la empresa </w:t>
      </w:r>
      <w:r w:rsidRPr="003D0A56">
        <w:rPr>
          <w:rFonts w:ascii="Tahoma" w:hAnsi="Tahoma" w:cs="Tahoma"/>
          <w:sz w:val="20"/>
          <w:szCs w:val="20"/>
        </w:rPr>
        <w:t>Metro Security and Services SRLtda., no se apersonaron a realizar sus respectivos informes orales, a pesar de haber sido debidamente notificados y tal como se puede advertir en el siguiente detalle:</w:t>
      </w:r>
    </w:p>
    <w:p w:rsidR="005B2A46" w:rsidRPr="003D0A56" w:rsidRDefault="005B2A46" w:rsidP="005B2A46">
      <w:pPr>
        <w:pStyle w:val="Prrafodelista"/>
        <w:rPr>
          <w:rFonts w:ascii="Tahoma" w:hAnsi="Tahoma" w:cs="Tahoma"/>
          <w:sz w:val="20"/>
          <w:lang w:val="es-PE"/>
        </w:rPr>
      </w:pPr>
    </w:p>
    <w:p w:rsidR="005B2A46" w:rsidRPr="003D0A56" w:rsidRDefault="005B2A46" w:rsidP="005B2A46">
      <w:pPr>
        <w:pStyle w:val="Prrafodelista"/>
        <w:rPr>
          <w:rFonts w:ascii="Tahoma" w:hAnsi="Tahoma" w:cs="Tahoma"/>
          <w:sz w:val="20"/>
          <w:lang w:val="es-PE"/>
        </w:rPr>
      </w:pPr>
      <w:r w:rsidRPr="003D0A56">
        <w:rPr>
          <w:rFonts w:ascii="Tahoma" w:hAnsi="Tahoma" w:cs="Tahoma"/>
          <w:noProof/>
          <w:sz w:val="20"/>
          <w:lang w:val="es-ES"/>
        </w:rPr>
        <w:lastRenderedPageBreak/>
        <w:drawing>
          <wp:inline distT="0" distB="0" distL="0" distR="0">
            <wp:extent cx="4229008" cy="4417454"/>
            <wp:effectExtent l="19050" t="0" r="92" b="0"/>
            <wp:docPr id="1" name="0 Imagen" descr="ac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a.jpg"/>
                    <pic:cNvPicPr/>
                  </pic:nvPicPr>
                  <pic:blipFill>
                    <a:blip r:embed="rId7"/>
                    <a:stretch>
                      <a:fillRect/>
                    </a:stretch>
                  </pic:blipFill>
                  <pic:spPr>
                    <a:xfrm>
                      <a:off x="0" y="0"/>
                      <a:ext cx="4230208" cy="4418707"/>
                    </a:xfrm>
                    <a:prstGeom prst="rect">
                      <a:avLst/>
                    </a:prstGeom>
                  </pic:spPr>
                </pic:pic>
              </a:graphicData>
            </a:graphic>
          </wp:inline>
        </w:drawing>
      </w:r>
    </w:p>
    <w:p w:rsidR="005B2A46" w:rsidRPr="003D0A56" w:rsidRDefault="005B2A46" w:rsidP="005B2A46">
      <w:pPr>
        <w:jc w:val="both"/>
        <w:rPr>
          <w:rFonts w:ascii="Tahoma" w:hAnsi="Tahoma" w:cs="Tahoma"/>
          <w:sz w:val="20"/>
          <w:szCs w:val="20"/>
          <w:lang w:val="es-PE"/>
        </w:rPr>
      </w:pPr>
    </w:p>
    <w:p w:rsidR="005B2A46" w:rsidRPr="003D0A56" w:rsidRDefault="005B2A46" w:rsidP="005B2A46">
      <w:pPr>
        <w:pStyle w:val="Prrafodelista"/>
        <w:widowControl/>
        <w:numPr>
          <w:ilvl w:val="0"/>
          <w:numId w:val="10"/>
        </w:numPr>
        <w:tabs>
          <w:tab w:val="left" w:pos="0"/>
        </w:tabs>
        <w:suppressAutoHyphens w:val="0"/>
        <w:ind w:left="567" w:hanging="567"/>
        <w:jc w:val="both"/>
        <w:rPr>
          <w:rFonts w:ascii="Tahoma" w:hAnsi="Tahoma" w:cs="Tahoma"/>
          <w:sz w:val="20"/>
        </w:rPr>
      </w:pPr>
      <w:r w:rsidRPr="003D0A56">
        <w:rPr>
          <w:rFonts w:ascii="Tahoma" w:hAnsi="Tahoma" w:cs="Tahoma"/>
          <w:sz w:val="20"/>
          <w:lang w:val="es-PE"/>
        </w:rPr>
        <w:t xml:space="preserve">De lo señalado anteriormente, </w:t>
      </w:r>
      <w:r w:rsidRPr="003D0A56">
        <w:rPr>
          <w:rFonts w:ascii="Tahoma" w:hAnsi="Tahoma" w:cs="Tahoma"/>
          <w:sz w:val="20"/>
        </w:rPr>
        <w:t>se evidencia que en el presente procedimiento administrativo, no se vulneró el debido procedimiento ni el derecho de defensa de la</w:t>
      </w:r>
      <w:r w:rsidRPr="003D0A56">
        <w:rPr>
          <w:rFonts w:ascii="Tahoma" w:hAnsi="Tahoma" w:cs="Tahoma"/>
          <w:color w:val="000000" w:themeColor="text1"/>
          <w:sz w:val="20"/>
        </w:rPr>
        <w:t xml:space="preserve"> empresa </w:t>
      </w:r>
      <w:r w:rsidRPr="003D0A56">
        <w:rPr>
          <w:rFonts w:ascii="Tahoma" w:hAnsi="Tahoma" w:cs="Tahoma"/>
          <w:sz w:val="20"/>
        </w:rPr>
        <w:t>METRO SECURITY AND SERVICES SRL</w:t>
      </w:r>
      <w:r w:rsidR="006F1524">
        <w:rPr>
          <w:rFonts w:ascii="Tahoma" w:hAnsi="Tahoma" w:cs="Tahoma"/>
          <w:sz w:val="20"/>
        </w:rPr>
        <w:t>tda</w:t>
      </w:r>
      <w:r w:rsidRPr="003D0A56">
        <w:rPr>
          <w:rFonts w:ascii="Tahoma" w:hAnsi="Tahoma" w:cs="Tahoma"/>
          <w:sz w:val="20"/>
        </w:rPr>
        <w:t>., ya que a pesar que se le otorgó hasta en dos oportunidades para que pueda ejercer su derecho de uso de la palabra, no ejerció dicho derecho por propia voluntad, toda vez que el 06 de junio de 2011, fecha en la cual se iba a llevar a cabo la Audiencia Pública, no se apersonó ni se registró a ninguna persona que, en representación de dicha empresa, ejerza su derecho de uso de la palabra, lo que es de su absoluta responsabilidad.</w:t>
      </w:r>
    </w:p>
    <w:p w:rsidR="005B2A46" w:rsidRPr="003D0A56" w:rsidRDefault="005B2A46" w:rsidP="005B2A46">
      <w:pPr>
        <w:tabs>
          <w:tab w:val="left" w:pos="0"/>
        </w:tabs>
        <w:jc w:val="both"/>
        <w:rPr>
          <w:rFonts w:ascii="Tahoma" w:hAnsi="Tahoma" w:cs="Tahoma"/>
          <w:sz w:val="20"/>
          <w:szCs w:val="20"/>
        </w:rPr>
      </w:pPr>
    </w:p>
    <w:p w:rsidR="005B2A46" w:rsidRPr="003D0A56" w:rsidRDefault="005B2A46" w:rsidP="005B2A46">
      <w:pPr>
        <w:pStyle w:val="Prrafodelista"/>
        <w:widowControl/>
        <w:tabs>
          <w:tab w:val="left" w:pos="0"/>
        </w:tabs>
        <w:suppressAutoHyphens w:val="0"/>
        <w:ind w:left="567"/>
        <w:jc w:val="both"/>
        <w:rPr>
          <w:rFonts w:ascii="Tahoma" w:hAnsi="Tahoma" w:cs="Tahoma"/>
          <w:sz w:val="20"/>
        </w:rPr>
      </w:pPr>
      <w:r w:rsidRPr="003D0A56">
        <w:rPr>
          <w:rFonts w:ascii="Tahoma" w:hAnsi="Tahoma" w:cs="Tahoma"/>
          <w:sz w:val="20"/>
          <w:lang w:val="es-PE"/>
        </w:rPr>
        <w:t xml:space="preserve">En efecto, debemos indicar que el derecho de defensa es una garantía con el que cuentan las partes, por el cual </w:t>
      </w:r>
      <w:r w:rsidRPr="003D0A56">
        <w:rPr>
          <w:rFonts w:ascii="Tahoma" w:eastAsiaTheme="minorHAnsi" w:hAnsi="Tahoma" w:cs="Tahoma"/>
          <w:sz w:val="20"/>
          <w:lang w:val="es-PE" w:eastAsia="en-US"/>
        </w:rPr>
        <w:t>deben de encontrarse</w:t>
      </w:r>
      <w:r w:rsidRPr="003D0A56">
        <w:rPr>
          <w:rFonts w:ascii="Tahoma" w:eastAsiaTheme="minorHAnsi" w:hAnsi="Tahoma" w:cs="Tahoma"/>
          <w:sz w:val="20"/>
          <w:lang w:val="es-ES" w:eastAsia="en-US"/>
        </w:rPr>
        <w:t xml:space="preserve"> en la posibilidad </w:t>
      </w:r>
      <w:r w:rsidRPr="003D0A56">
        <w:rPr>
          <w:rFonts w:ascii="Tahoma" w:eastAsiaTheme="minorHAnsi" w:hAnsi="Tahoma" w:cs="Tahoma"/>
          <w:sz w:val="20"/>
          <w:lang w:eastAsia="en-US"/>
        </w:rPr>
        <w:t>de hacer ejercicio de los recursos necesarios previstos en la ley para su defensa; n</w:t>
      </w:r>
      <w:r w:rsidRPr="003D0A56">
        <w:rPr>
          <w:rFonts w:ascii="Tahoma" w:eastAsiaTheme="minorHAnsi" w:hAnsi="Tahoma" w:cs="Tahoma"/>
          <w:sz w:val="20"/>
          <w:lang w:val="es-ES" w:eastAsia="en-US"/>
        </w:rPr>
        <w:t>o obstante ello, el derecho de defensa es un derecho</w:t>
      </w:r>
      <w:r w:rsidRPr="003D0A56">
        <w:rPr>
          <w:rFonts w:ascii="Tahoma" w:hAnsi="Tahoma" w:cs="Tahoma"/>
          <w:sz w:val="20"/>
          <w:lang w:val="es-PE"/>
        </w:rPr>
        <w:t xml:space="preserve"> </w:t>
      </w:r>
      <w:r w:rsidRPr="003D0A56">
        <w:rPr>
          <w:rFonts w:ascii="Tahoma" w:eastAsiaTheme="minorHAnsi" w:hAnsi="Tahoma" w:cs="Tahoma"/>
          <w:sz w:val="20"/>
          <w:lang w:val="es-ES" w:eastAsia="en-US"/>
        </w:rPr>
        <w:t>fundamental de todo ciudadano, nada obliga a éste a ejercerlo. Así, si por ejemplo, una persona es demandada y no hace nada para defenderse, no podríamos decir que se está vulnerando su derecho de defensa, ya que éste no es ejercido por la propia voluntad del demandado por lo que podemos señalar que se trata más bien de una cuestión de oportunidad.</w:t>
      </w:r>
    </w:p>
    <w:p w:rsidR="005B2A46" w:rsidRPr="003D0A56" w:rsidRDefault="005B2A46" w:rsidP="005B2A46">
      <w:pPr>
        <w:pStyle w:val="Prrafodelista"/>
        <w:widowControl/>
        <w:tabs>
          <w:tab w:val="left" w:pos="0"/>
        </w:tabs>
        <w:suppressAutoHyphens w:val="0"/>
        <w:ind w:left="567"/>
        <w:jc w:val="both"/>
        <w:rPr>
          <w:rFonts w:ascii="Tahoma" w:hAnsi="Tahoma" w:cs="Tahoma"/>
          <w:sz w:val="20"/>
        </w:rPr>
      </w:pPr>
    </w:p>
    <w:p w:rsidR="005B2A46" w:rsidRPr="003D0A56" w:rsidRDefault="005B2A46" w:rsidP="005B2A46">
      <w:pPr>
        <w:numPr>
          <w:ilvl w:val="0"/>
          <w:numId w:val="10"/>
        </w:numPr>
        <w:tabs>
          <w:tab w:val="left" w:pos="0"/>
        </w:tabs>
        <w:ind w:left="567" w:hanging="567"/>
        <w:jc w:val="both"/>
        <w:rPr>
          <w:rFonts w:ascii="Tahoma" w:hAnsi="Tahoma" w:cs="Tahoma"/>
          <w:sz w:val="20"/>
          <w:szCs w:val="20"/>
        </w:rPr>
      </w:pPr>
      <w:r w:rsidRPr="003D0A56">
        <w:rPr>
          <w:rFonts w:ascii="Tahoma" w:eastAsiaTheme="minorHAnsi" w:hAnsi="Tahoma" w:cs="Tahoma"/>
          <w:sz w:val="20"/>
          <w:szCs w:val="20"/>
          <w:lang w:eastAsia="en-US"/>
        </w:rPr>
        <w:t xml:space="preserve">En ese sentido, </w:t>
      </w:r>
      <w:r w:rsidRPr="003D0A56">
        <w:rPr>
          <w:rFonts w:ascii="Tahoma" w:hAnsi="Tahoma" w:cs="Tahoma"/>
          <w:sz w:val="20"/>
          <w:szCs w:val="20"/>
        </w:rPr>
        <w:t xml:space="preserve">y tal como se manifestó anteriormente mediante la Resolución Nº 998-2011-TC-S1, que resolvió el recurso de Reconsideración interpuesto cabe precisar que no </w:t>
      </w:r>
      <w:r w:rsidRPr="003D0A56">
        <w:rPr>
          <w:rFonts w:ascii="Tahoma" w:hAnsi="Tahoma" w:cs="Tahoma"/>
          <w:sz w:val="20"/>
          <w:szCs w:val="20"/>
        </w:rPr>
        <w:lastRenderedPageBreak/>
        <w:t xml:space="preserve">resulta amparable la declaración de nulidad solicitada por la Contratista, toda vez que si bien es cierto se emitió la resolución que sancionó a la Contratista por el periodo de dieciséis (16) meses, sin convocarse a Audiencia Pública, no es menos cierto que dicha sanción administrativa quedó suspendida al no haberse agotado la vía administrativa ni ha causado estado de indefensión, por lo cual, con la interposición del recurso de reconsideración, este Colegiado tuvo la oportunidad de revisar nuevamente el caso y, a fin de no transgredir el debido procedimiento y el derecho de defensa del administrado, se convocó hasta en dos oportunidades a Audiencia Pública, sin embargo, la Contratista no se apersonó a realizar el uso de la palabra, solicitando que se reprograme para el 10 de junio del 2011, pedido que fue denegado, toda vez que, en virtud del </w:t>
      </w:r>
      <w:r w:rsidRPr="003D0A56">
        <w:rPr>
          <w:rFonts w:ascii="Tahoma" w:hAnsi="Tahoma" w:cs="Tahoma"/>
          <w:color w:val="000000"/>
          <w:sz w:val="20"/>
          <w:szCs w:val="20"/>
        </w:rPr>
        <w:t xml:space="preserve">artículo N° 249 del Reglamento, este Tribunal </w:t>
      </w:r>
      <w:r w:rsidRPr="003D0A56">
        <w:rPr>
          <w:rFonts w:ascii="Tahoma" w:hAnsi="Tahoma" w:cs="Tahoma"/>
          <w:sz w:val="20"/>
          <w:szCs w:val="20"/>
        </w:rPr>
        <w:t xml:space="preserve">solamente </w:t>
      </w:r>
      <w:r w:rsidRPr="003D0A56">
        <w:rPr>
          <w:rFonts w:ascii="Tahoma" w:hAnsi="Tahoma" w:cs="Tahoma"/>
          <w:color w:val="000000"/>
          <w:sz w:val="20"/>
          <w:szCs w:val="20"/>
        </w:rPr>
        <w:t xml:space="preserve">contaba con quince (15) días hábiles improrrogables para resolver el recurso de reconsideración, el mismo que vencía el 10 de junio del 2011, lo cual imposibilitaba la nueva ampliación en el plazo a fin de efectuarse la audiencia pública; más aun teniendo en cuenta que la empresa Metro Security and Services </w:t>
      </w:r>
      <w:r w:rsidRPr="003D0A56">
        <w:rPr>
          <w:rFonts w:ascii="Tahoma" w:hAnsi="Tahoma" w:cs="Tahoma"/>
          <w:sz w:val="20"/>
          <w:szCs w:val="20"/>
        </w:rPr>
        <w:t>SRLtda</w:t>
      </w:r>
      <w:r w:rsidRPr="003D0A56">
        <w:rPr>
          <w:rFonts w:ascii="Tahoma" w:hAnsi="Tahoma" w:cs="Tahoma"/>
          <w:color w:val="000000"/>
          <w:sz w:val="20"/>
          <w:szCs w:val="20"/>
        </w:rPr>
        <w:t xml:space="preserve"> bien pudo ser representada por otra persona en reemplazo de su abogado indispuesto por motivos de salud a fin de llevar a cabo un informe oral; sin perjuicio de presentar su informe por escrito, aun cuando este Tribunal merituó cada uno de los documentos presentados por la empresa a fin de resolver el procedimiento acaecido.</w:t>
      </w:r>
    </w:p>
    <w:p w:rsidR="005B2A46" w:rsidRPr="003D0A56" w:rsidRDefault="005B2A46" w:rsidP="005B2A46">
      <w:pPr>
        <w:jc w:val="both"/>
        <w:rPr>
          <w:rFonts w:ascii="Tahoma" w:hAnsi="Tahoma" w:cs="Tahoma"/>
          <w:sz w:val="20"/>
          <w:szCs w:val="20"/>
          <w:lang w:val="es-PE"/>
        </w:rPr>
      </w:pPr>
    </w:p>
    <w:p w:rsidR="005B2A46" w:rsidRPr="003D0A56" w:rsidRDefault="005B2A46" w:rsidP="005B2A46">
      <w:pPr>
        <w:numPr>
          <w:ilvl w:val="0"/>
          <w:numId w:val="10"/>
        </w:numPr>
        <w:ind w:left="567" w:hanging="567"/>
        <w:jc w:val="both"/>
        <w:rPr>
          <w:rFonts w:ascii="Tahoma" w:hAnsi="Tahoma" w:cs="Tahoma"/>
          <w:sz w:val="20"/>
          <w:szCs w:val="20"/>
          <w:lang w:val="es-PE"/>
        </w:rPr>
      </w:pPr>
      <w:r w:rsidRPr="003D0A56">
        <w:rPr>
          <w:rFonts w:ascii="Tahoma" w:hAnsi="Tahoma" w:cs="Tahoma"/>
          <w:sz w:val="20"/>
          <w:szCs w:val="20"/>
          <w:lang w:val="es-PE"/>
        </w:rPr>
        <w:t>Visto así, se observa que la resolución en cuestión no adolece de ningún vicio de validez, al haber sido emitida en cumplimiento del procedimiento regular que precede a su expedición, observando el debido proceso que subyace a todo procedimiento administrativo, respetándose con ello el derecho de defensa que le asiste a la recurrente, por lo que no resulta de aplicación el numeral 5 del artículo 3 y los numerales 1 y 2 del artículo 10 de la Ley del Procedimiento Administrativo General</w:t>
      </w:r>
      <w:r w:rsidRPr="003D0A56">
        <w:rPr>
          <w:rStyle w:val="Refdenotaalpie"/>
          <w:rFonts w:ascii="Tahoma" w:hAnsi="Tahoma" w:cs="Tahoma"/>
          <w:sz w:val="20"/>
          <w:szCs w:val="20"/>
        </w:rPr>
        <w:footnoteReference w:id="4"/>
      </w:r>
      <w:r w:rsidRPr="003D0A56">
        <w:rPr>
          <w:rFonts w:ascii="Tahoma" w:hAnsi="Tahoma" w:cs="Tahoma"/>
          <w:sz w:val="20"/>
          <w:szCs w:val="20"/>
          <w:lang w:val="es-PE"/>
        </w:rPr>
        <w:t>. Por lo expuesto, no corresponde declarar la nulidad de la resolución cuestionada.</w:t>
      </w:r>
    </w:p>
    <w:p w:rsidR="005B2A46" w:rsidRPr="003D0A56" w:rsidRDefault="005B2A46" w:rsidP="005B2A46">
      <w:pPr>
        <w:pStyle w:val="Prrafodelista"/>
        <w:ind w:left="567"/>
        <w:contextualSpacing/>
        <w:jc w:val="both"/>
        <w:rPr>
          <w:rFonts w:ascii="Tahoma" w:hAnsi="Tahoma" w:cs="Tahoma"/>
          <w:sz w:val="20"/>
          <w:lang w:val="es-PE"/>
        </w:rPr>
      </w:pPr>
      <w:r w:rsidRPr="003D0A56">
        <w:rPr>
          <w:rFonts w:ascii="Tahoma" w:eastAsiaTheme="minorHAnsi" w:hAnsi="Tahoma" w:cs="Tahoma"/>
          <w:color w:val="000000"/>
          <w:sz w:val="20"/>
          <w:lang w:eastAsia="en-US"/>
        </w:rPr>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5B2A46" w:rsidRDefault="005B2A46" w:rsidP="005B2A46">
      <w:pPr>
        <w:jc w:val="both"/>
        <w:rPr>
          <w:rFonts w:ascii="Tahoma" w:hAnsi="Tahoma" w:cs="Tahoma"/>
          <w:sz w:val="20"/>
          <w:szCs w:val="20"/>
        </w:rPr>
      </w:pPr>
    </w:p>
    <w:p w:rsidR="00155C47" w:rsidRDefault="00155C47" w:rsidP="005B2A46">
      <w:pPr>
        <w:jc w:val="both"/>
        <w:rPr>
          <w:rFonts w:ascii="Tahoma" w:hAnsi="Tahoma" w:cs="Tahoma"/>
          <w:sz w:val="20"/>
          <w:szCs w:val="20"/>
        </w:rPr>
      </w:pPr>
    </w:p>
    <w:p w:rsidR="00155C47" w:rsidRPr="003D0A56" w:rsidRDefault="00155C47" w:rsidP="005B2A46">
      <w:pPr>
        <w:jc w:val="both"/>
        <w:rPr>
          <w:rFonts w:ascii="Tahoma" w:hAnsi="Tahoma" w:cs="Tahoma"/>
          <w:sz w:val="20"/>
          <w:szCs w:val="20"/>
        </w:rPr>
      </w:pPr>
    </w:p>
    <w:p w:rsidR="005B2A46" w:rsidRPr="003D0A56" w:rsidRDefault="005B2A46" w:rsidP="005B2A46">
      <w:pPr>
        <w:ind w:firstLine="567"/>
        <w:jc w:val="both"/>
        <w:rPr>
          <w:rFonts w:ascii="Tahoma" w:hAnsi="Tahoma" w:cs="Tahoma"/>
          <w:b/>
          <w:sz w:val="20"/>
          <w:szCs w:val="20"/>
        </w:rPr>
      </w:pPr>
      <w:r w:rsidRPr="003D0A56">
        <w:rPr>
          <w:rFonts w:ascii="Tahoma" w:hAnsi="Tahoma" w:cs="Tahoma"/>
          <w:b/>
          <w:sz w:val="20"/>
          <w:szCs w:val="20"/>
        </w:rPr>
        <w:lastRenderedPageBreak/>
        <w:t xml:space="preserve">LA SALA RESUELVE: </w:t>
      </w:r>
    </w:p>
    <w:p w:rsidR="005B2A46" w:rsidRPr="003D0A56" w:rsidRDefault="005B2A46" w:rsidP="005B2A46">
      <w:pPr>
        <w:jc w:val="both"/>
        <w:rPr>
          <w:rFonts w:ascii="Tahoma" w:hAnsi="Tahoma" w:cs="Tahoma"/>
          <w:snapToGrid w:val="0"/>
          <w:sz w:val="20"/>
          <w:szCs w:val="20"/>
        </w:rPr>
      </w:pPr>
    </w:p>
    <w:p w:rsidR="003D0A56" w:rsidRPr="003D0A56" w:rsidRDefault="003D0A56" w:rsidP="003D0A56">
      <w:pPr>
        <w:ind w:left="567"/>
        <w:jc w:val="both"/>
        <w:rPr>
          <w:rFonts w:ascii="Tahoma" w:hAnsi="Tahoma" w:cs="Tahoma"/>
          <w:sz w:val="20"/>
          <w:szCs w:val="20"/>
        </w:rPr>
      </w:pPr>
      <w:r w:rsidRPr="003D0A56">
        <w:rPr>
          <w:rFonts w:ascii="Tahoma" w:hAnsi="Tahoma" w:cs="Tahoma"/>
          <w:sz w:val="20"/>
          <w:szCs w:val="20"/>
        </w:rPr>
        <w:t>Declarar no ha lugar el pedido de nulidad de la Resolución Nº 998-2011-TC-S1 y la Resolución Nº 781-2011-</w:t>
      </w:r>
      <w:r w:rsidR="006F1524">
        <w:rPr>
          <w:rFonts w:ascii="Tahoma" w:hAnsi="Tahoma" w:cs="Tahoma"/>
          <w:sz w:val="20"/>
          <w:szCs w:val="20"/>
        </w:rPr>
        <w:t>TC-</w:t>
      </w:r>
      <w:r w:rsidRPr="003D0A56">
        <w:rPr>
          <w:rFonts w:ascii="Tahoma" w:hAnsi="Tahoma" w:cs="Tahoma"/>
          <w:sz w:val="20"/>
          <w:szCs w:val="20"/>
        </w:rPr>
        <w:t>S1 de fecha 11 de mayo de 2011 que impuso a la empresa METRO SECURITY AND SERVICES SRLtda sanción administrativa de inhabilitación temporal en sus derechos para participar en procesos de selección y contratar con el Estado, por el periodo de dieciséis (16) meses, por la comisión de la infracción tipificada en el literal b) del numeral 51.1 del artículo 51 de la Ley de Contrataciones del Estado.</w:t>
      </w:r>
    </w:p>
    <w:p w:rsidR="003D0A56" w:rsidRPr="003D0A56" w:rsidRDefault="003D0A56" w:rsidP="003D0A56">
      <w:pPr>
        <w:ind w:left="567"/>
        <w:jc w:val="both"/>
        <w:rPr>
          <w:rFonts w:ascii="Tahoma" w:hAnsi="Tahoma" w:cs="Tahoma"/>
          <w:sz w:val="20"/>
          <w:szCs w:val="20"/>
        </w:rPr>
      </w:pPr>
    </w:p>
    <w:p w:rsidR="005B2A46" w:rsidRPr="003D0A56" w:rsidRDefault="005B2A46" w:rsidP="005B2A46">
      <w:pPr>
        <w:pStyle w:val="Textoindependiente21"/>
        <w:ind w:firstLine="567"/>
        <w:rPr>
          <w:rFonts w:cs="Tahoma"/>
          <w:sz w:val="20"/>
        </w:rPr>
      </w:pPr>
      <w:r w:rsidRPr="003D0A56">
        <w:rPr>
          <w:rFonts w:cs="Tahoma"/>
          <w:sz w:val="20"/>
        </w:rPr>
        <w:t>Regístrese, comuníquese y publíquese.</w:t>
      </w:r>
    </w:p>
    <w:p w:rsidR="005B2A46" w:rsidRPr="003D0A56" w:rsidRDefault="005B2A46" w:rsidP="005B2A46">
      <w:pPr>
        <w:jc w:val="center"/>
        <w:rPr>
          <w:rFonts w:ascii="Tahoma" w:hAnsi="Tahoma" w:cs="Tahoma"/>
          <w:b/>
          <w:sz w:val="20"/>
          <w:szCs w:val="20"/>
        </w:rPr>
      </w:pPr>
    </w:p>
    <w:p w:rsidR="005B2A46" w:rsidRPr="003D0A56" w:rsidRDefault="005B2A46" w:rsidP="005B2A46">
      <w:pPr>
        <w:jc w:val="center"/>
        <w:rPr>
          <w:rFonts w:ascii="Tahoma" w:hAnsi="Tahoma" w:cs="Tahoma"/>
          <w:b/>
          <w:sz w:val="20"/>
          <w:szCs w:val="20"/>
        </w:rPr>
      </w:pPr>
    </w:p>
    <w:p w:rsidR="005B2A46" w:rsidRPr="003D0A56" w:rsidRDefault="005B2A46" w:rsidP="005B2A46">
      <w:pPr>
        <w:jc w:val="center"/>
        <w:rPr>
          <w:rFonts w:ascii="Tahoma" w:hAnsi="Tahoma" w:cs="Tahoma"/>
          <w:b/>
          <w:sz w:val="20"/>
          <w:szCs w:val="20"/>
        </w:rPr>
      </w:pPr>
    </w:p>
    <w:p w:rsidR="003D0A56" w:rsidRDefault="003D0A56" w:rsidP="005B2A46">
      <w:pPr>
        <w:jc w:val="center"/>
        <w:rPr>
          <w:rFonts w:ascii="Tahoma" w:hAnsi="Tahoma" w:cs="Tahoma"/>
          <w:b/>
          <w:sz w:val="20"/>
          <w:szCs w:val="20"/>
        </w:rPr>
      </w:pPr>
    </w:p>
    <w:p w:rsidR="003D0A56" w:rsidRDefault="003D0A56" w:rsidP="005B2A46">
      <w:pPr>
        <w:jc w:val="center"/>
        <w:rPr>
          <w:rFonts w:ascii="Tahoma" w:hAnsi="Tahoma" w:cs="Tahoma"/>
          <w:b/>
          <w:sz w:val="20"/>
          <w:szCs w:val="20"/>
        </w:rPr>
      </w:pPr>
    </w:p>
    <w:p w:rsidR="003D0A56" w:rsidRPr="003D0A56" w:rsidRDefault="003D0A56" w:rsidP="005B2A46">
      <w:pPr>
        <w:jc w:val="center"/>
        <w:rPr>
          <w:rFonts w:ascii="Tahoma" w:hAnsi="Tahoma" w:cs="Tahoma"/>
          <w:b/>
          <w:sz w:val="20"/>
          <w:szCs w:val="20"/>
        </w:rPr>
      </w:pPr>
    </w:p>
    <w:p w:rsidR="003D0A56" w:rsidRPr="003D0A56" w:rsidRDefault="003D0A56" w:rsidP="005B2A46">
      <w:pPr>
        <w:jc w:val="center"/>
        <w:rPr>
          <w:rFonts w:ascii="Tahoma" w:hAnsi="Tahoma" w:cs="Tahoma"/>
          <w:b/>
          <w:sz w:val="20"/>
          <w:szCs w:val="20"/>
        </w:rPr>
      </w:pPr>
    </w:p>
    <w:p w:rsidR="005B2A46" w:rsidRPr="003D0A56" w:rsidRDefault="005B2A46" w:rsidP="005B2A46">
      <w:pPr>
        <w:rPr>
          <w:rFonts w:ascii="Tahoma" w:hAnsi="Tahoma" w:cs="Tahoma"/>
          <w:b/>
          <w:sz w:val="20"/>
          <w:szCs w:val="20"/>
        </w:rPr>
      </w:pPr>
    </w:p>
    <w:p w:rsidR="005B2A46" w:rsidRPr="003D0A56" w:rsidRDefault="005B2A46" w:rsidP="005B2A46">
      <w:pPr>
        <w:jc w:val="center"/>
        <w:rPr>
          <w:rFonts w:ascii="Tahoma" w:hAnsi="Tahoma" w:cs="Tahoma"/>
          <w:b/>
          <w:shadow/>
          <w:sz w:val="20"/>
          <w:szCs w:val="20"/>
          <w:lang w:val="pt-BR"/>
        </w:rPr>
      </w:pPr>
      <w:r w:rsidRPr="003D0A56">
        <w:rPr>
          <w:rFonts w:ascii="Tahoma" w:hAnsi="Tahoma" w:cs="Tahoma"/>
          <w:b/>
          <w:shadow/>
          <w:sz w:val="20"/>
          <w:szCs w:val="20"/>
          <w:lang w:val="pt-BR"/>
        </w:rPr>
        <w:t>PRESIDENTE</w:t>
      </w:r>
    </w:p>
    <w:p w:rsidR="005B2A46" w:rsidRPr="003D0A56" w:rsidRDefault="005B2A46" w:rsidP="005B2A46">
      <w:pPr>
        <w:ind w:firstLine="708"/>
        <w:rPr>
          <w:rFonts w:ascii="Tahoma" w:hAnsi="Tahoma" w:cs="Tahoma"/>
          <w:b/>
          <w:shadow/>
          <w:sz w:val="20"/>
          <w:szCs w:val="20"/>
          <w:lang w:val="pt-BR"/>
        </w:rPr>
      </w:pPr>
    </w:p>
    <w:p w:rsidR="005B2A46" w:rsidRPr="003D0A56" w:rsidRDefault="005B2A46" w:rsidP="005B2A46">
      <w:pPr>
        <w:ind w:firstLine="708"/>
        <w:rPr>
          <w:rFonts w:ascii="Tahoma" w:hAnsi="Tahoma" w:cs="Tahoma"/>
          <w:b/>
          <w:shadow/>
          <w:sz w:val="20"/>
          <w:szCs w:val="20"/>
          <w:lang w:val="pt-BR"/>
        </w:rPr>
      </w:pPr>
      <w:r w:rsidRPr="003D0A56">
        <w:rPr>
          <w:rFonts w:ascii="Tahoma" w:hAnsi="Tahoma" w:cs="Tahoma"/>
          <w:b/>
          <w:shadow/>
          <w:sz w:val="20"/>
          <w:szCs w:val="20"/>
          <w:lang w:val="pt-BR"/>
        </w:rPr>
        <w:t xml:space="preserve">VOCAL           </w:t>
      </w:r>
      <w:r w:rsidRPr="003D0A56">
        <w:rPr>
          <w:rFonts w:ascii="Tahoma" w:hAnsi="Tahoma" w:cs="Tahoma"/>
          <w:b/>
          <w:shadow/>
          <w:sz w:val="20"/>
          <w:szCs w:val="20"/>
          <w:lang w:val="pt-BR"/>
        </w:rPr>
        <w:tab/>
      </w:r>
      <w:r w:rsidRPr="003D0A56">
        <w:rPr>
          <w:rFonts w:ascii="Tahoma" w:hAnsi="Tahoma" w:cs="Tahoma"/>
          <w:b/>
          <w:shadow/>
          <w:sz w:val="20"/>
          <w:szCs w:val="20"/>
          <w:lang w:val="pt-BR"/>
        </w:rPr>
        <w:tab/>
        <w:t xml:space="preserve">                                                                 VOCAL</w:t>
      </w:r>
    </w:p>
    <w:p w:rsidR="005B2A46" w:rsidRPr="003D0A56" w:rsidRDefault="005B2A46" w:rsidP="005B2A46">
      <w:pPr>
        <w:rPr>
          <w:rFonts w:ascii="Tahoma" w:hAnsi="Tahoma" w:cs="Tahoma"/>
          <w:sz w:val="20"/>
          <w:szCs w:val="20"/>
          <w:lang w:val="pt-BR"/>
        </w:rPr>
      </w:pPr>
    </w:p>
    <w:p w:rsidR="005B2A46" w:rsidRPr="003D0A56" w:rsidRDefault="005B2A46" w:rsidP="005B2A46">
      <w:pPr>
        <w:rPr>
          <w:rFonts w:ascii="Tahoma" w:hAnsi="Tahoma" w:cs="Tahoma"/>
          <w:sz w:val="20"/>
          <w:szCs w:val="20"/>
          <w:lang w:val="pt-BR"/>
        </w:rPr>
      </w:pPr>
    </w:p>
    <w:p w:rsidR="005B2A46" w:rsidRPr="003D0A56" w:rsidRDefault="005B2A46" w:rsidP="005B2A46">
      <w:pPr>
        <w:jc w:val="both"/>
        <w:rPr>
          <w:rFonts w:ascii="Tahoma" w:hAnsi="Tahoma" w:cs="Tahoma"/>
          <w:sz w:val="20"/>
          <w:szCs w:val="20"/>
          <w:lang w:val="pt-BR"/>
        </w:rPr>
      </w:pPr>
      <w:r w:rsidRPr="003D0A56">
        <w:rPr>
          <w:rFonts w:ascii="Tahoma" w:hAnsi="Tahoma" w:cs="Tahoma"/>
          <w:sz w:val="20"/>
          <w:szCs w:val="20"/>
          <w:lang w:val="pt-BR"/>
        </w:rPr>
        <w:t>ss.</w:t>
      </w:r>
    </w:p>
    <w:p w:rsidR="005B2A46" w:rsidRPr="003D0A56" w:rsidRDefault="005B2A46" w:rsidP="005B2A46">
      <w:pPr>
        <w:pStyle w:val="Textoindependiente21"/>
        <w:tabs>
          <w:tab w:val="left" w:pos="5250"/>
        </w:tabs>
        <w:rPr>
          <w:rFonts w:cs="Tahoma"/>
          <w:sz w:val="20"/>
          <w:lang w:val="pt-BR"/>
        </w:rPr>
      </w:pPr>
      <w:r w:rsidRPr="003D0A56">
        <w:rPr>
          <w:rFonts w:cs="Tahoma"/>
          <w:sz w:val="20"/>
          <w:lang w:val="pt-BR"/>
        </w:rPr>
        <w:t>Navas Rondón.</w:t>
      </w:r>
    </w:p>
    <w:p w:rsidR="005B2A46" w:rsidRPr="003D0A56" w:rsidRDefault="005B2A46" w:rsidP="005B2A46">
      <w:pPr>
        <w:pStyle w:val="Textoindependiente21"/>
        <w:tabs>
          <w:tab w:val="left" w:pos="5250"/>
        </w:tabs>
        <w:rPr>
          <w:rFonts w:cs="Tahoma"/>
          <w:sz w:val="20"/>
          <w:lang w:val="pt-BR"/>
        </w:rPr>
      </w:pPr>
      <w:r w:rsidRPr="003D0A56">
        <w:rPr>
          <w:rFonts w:cs="Tahoma"/>
          <w:sz w:val="20"/>
        </w:rPr>
        <w:t>Ramírez Maynetto.</w:t>
      </w:r>
    </w:p>
    <w:p w:rsidR="001D5C36" w:rsidRPr="003D0A56" w:rsidRDefault="005B2A46" w:rsidP="003D0A56">
      <w:pPr>
        <w:pStyle w:val="Textoindependiente21"/>
        <w:tabs>
          <w:tab w:val="left" w:pos="5250"/>
        </w:tabs>
        <w:rPr>
          <w:rFonts w:cs="Tahoma"/>
          <w:sz w:val="20"/>
          <w:lang w:val="pt-BR"/>
        </w:rPr>
      </w:pPr>
      <w:r w:rsidRPr="003D0A56">
        <w:rPr>
          <w:rFonts w:cs="Tahoma"/>
          <w:sz w:val="20"/>
          <w:lang w:val="pt-BR"/>
        </w:rPr>
        <w:t>Basulto Liewald.</w:t>
      </w:r>
    </w:p>
    <w:sectPr w:rsidR="001D5C36" w:rsidRPr="003D0A56" w:rsidSect="00B96798">
      <w:headerReference w:type="default" r:id="rId8"/>
      <w:footerReference w:type="default" r:id="rId9"/>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E1F" w:rsidRDefault="007F0E1F" w:rsidP="005B2A46">
      <w:r>
        <w:separator/>
      </w:r>
    </w:p>
  </w:endnote>
  <w:endnote w:type="continuationSeparator" w:id="1">
    <w:p w:rsidR="007F0E1F" w:rsidRDefault="007F0E1F" w:rsidP="005B2A46">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6165E6">
            <w:pPr>
              <w:pStyle w:val="Piedepgina"/>
              <w:jc w:val="center"/>
            </w:pPr>
            <w:r>
              <w:t xml:space="preserve">Página </w:t>
            </w:r>
            <w:r w:rsidR="00A52E6E">
              <w:rPr>
                <w:b/>
              </w:rPr>
              <w:fldChar w:fldCharType="begin"/>
            </w:r>
            <w:r>
              <w:rPr>
                <w:b/>
              </w:rPr>
              <w:instrText>PAGE</w:instrText>
            </w:r>
            <w:r w:rsidR="00A52E6E">
              <w:rPr>
                <w:b/>
              </w:rPr>
              <w:fldChar w:fldCharType="separate"/>
            </w:r>
            <w:r w:rsidR="002E271C">
              <w:rPr>
                <w:b/>
                <w:noProof/>
              </w:rPr>
              <w:t>1</w:t>
            </w:r>
            <w:r w:rsidR="00A52E6E">
              <w:rPr>
                <w:b/>
              </w:rPr>
              <w:fldChar w:fldCharType="end"/>
            </w:r>
            <w:r>
              <w:t xml:space="preserve"> de </w:t>
            </w:r>
            <w:r w:rsidR="00A52E6E">
              <w:rPr>
                <w:b/>
              </w:rPr>
              <w:fldChar w:fldCharType="begin"/>
            </w:r>
            <w:r>
              <w:rPr>
                <w:b/>
              </w:rPr>
              <w:instrText>NUMPAGES</w:instrText>
            </w:r>
            <w:r w:rsidR="00A52E6E">
              <w:rPr>
                <w:b/>
              </w:rPr>
              <w:fldChar w:fldCharType="separate"/>
            </w:r>
            <w:r w:rsidR="002E271C">
              <w:rPr>
                <w:b/>
                <w:noProof/>
              </w:rPr>
              <w:t>13</w:t>
            </w:r>
            <w:r w:rsidR="00A52E6E">
              <w:rPr>
                <w:b/>
              </w:rPr>
              <w:fldChar w:fldCharType="end"/>
            </w:r>
          </w:p>
        </w:sdtContent>
      </w:sdt>
    </w:sdtContent>
  </w:sdt>
  <w:p w:rsidR="0035353E" w:rsidRDefault="007F0E1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E1F" w:rsidRDefault="007F0E1F" w:rsidP="005B2A46">
      <w:r>
        <w:separator/>
      </w:r>
    </w:p>
  </w:footnote>
  <w:footnote w:type="continuationSeparator" w:id="1">
    <w:p w:rsidR="007F0E1F" w:rsidRDefault="007F0E1F" w:rsidP="005B2A46">
      <w:r>
        <w:continuationSeparator/>
      </w:r>
    </w:p>
  </w:footnote>
  <w:footnote w:id="2">
    <w:p w:rsidR="005B2A46" w:rsidRPr="002031D7" w:rsidRDefault="005B2A46" w:rsidP="005B2A46">
      <w:pPr>
        <w:pStyle w:val="Textonotapie"/>
        <w:jc w:val="both"/>
        <w:rPr>
          <w:rStyle w:val="Hipervnculo"/>
          <w:rFonts w:ascii="Tahoma" w:hAnsi="Tahoma" w:cs="Tahoma"/>
          <w:color w:val="000000"/>
          <w:sz w:val="18"/>
          <w:szCs w:val="18"/>
        </w:rPr>
      </w:pPr>
      <w:r w:rsidRPr="006C1DA7">
        <w:rPr>
          <w:rStyle w:val="Refdenotaalpie"/>
          <w:rFonts w:ascii="Tahoma" w:hAnsi="Tahoma" w:cs="Tahoma"/>
          <w:color w:val="000000"/>
          <w:sz w:val="18"/>
          <w:szCs w:val="18"/>
        </w:rPr>
        <w:footnoteRef/>
      </w:r>
      <w:r w:rsidRPr="006C1DA7">
        <w:rPr>
          <w:rFonts w:ascii="Tahoma" w:hAnsi="Tahoma" w:cs="Tahoma"/>
          <w:color w:val="000000"/>
          <w:sz w:val="18"/>
          <w:szCs w:val="18"/>
        </w:rPr>
        <w:t xml:space="preserve"> </w:t>
      </w:r>
      <w:r w:rsidRPr="00AC769F">
        <w:rPr>
          <w:i/>
          <w:color w:val="000000"/>
        </w:rPr>
        <w:t xml:space="preserve">Este criterio ha sido expresado en reiterada jurisprudencia emitida por el Tribunal Constitucional, de acuerdo con la cual el derecho al debido proceso no sólo tiene una dimensión estrictamente jurisdiccional, sino que se extiende también al procedimiento administrativo y a algunas relaciones entre particulares, tales como las suscitadas en el ámbito laboral o al interior de las asociaciones civiles. Al respecto, </w:t>
      </w:r>
      <w:r>
        <w:rPr>
          <w:i/>
          <w:color w:val="000000"/>
        </w:rPr>
        <w:t xml:space="preserve">podemos traer a colación </w:t>
      </w:r>
      <w:r w:rsidRPr="00AC769F">
        <w:rPr>
          <w:i/>
          <w:color w:val="000000"/>
        </w:rPr>
        <w:t xml:space="preserve">los pronunciamientos recaídos en los Expedientes № </w:t>
      </w:r>
      <w:r w:rsidRPr="00AC769F">
        <w:rPr>
          <w:bCs/>
          <w:i/>
          <w:color w:val="000000"/>
        </w:rPr>
        <w:t xml:space="preserve">8002-2006-PA/TC, </w:t>
      </w:r>
      <w:r w:rsidRPr="005A2349">
        <w:rPr>
          <w:rStyle w:val="Hipervnculo"/>
          <w:i/>
          <w:color w:val="000000"/>
        </w:rPr>
        <w:t>08957-2006-PA/TC, 8865-2006-PA/TC, entre otros.</w:t>
      </w:r>
    </w:p>
    <w:p w:rsidR="005B2A46" w:rsidRPr="006C1DA7" w:rsidRDefault="005B2A46" w:rsidP="005B2A46">
      <w:pPr>
        <w:pStyle w:val="Textonotapie"/>
        <w:jc w:val="both"/>
        <w:rPr>
          <w:rFonts w:ascii="Tahoma" w:hAnsi="Tahoma" w:cs="Tahoma"/>
          <w:color w:val="000000"/>
          <w:sz w:val="18"/>
          <w:szCs w:val="18"/>
        </w:rPr>
      </w:pPr>
    </w:p>
  </w:footnote>
  <w:footnote w:id="3">
    <w:p w:rsidR="005B2A46" w:rsidRPr="006C1DA7" w:rsidRDefault="005B2A46" w:rsidP="005B2A46">
      <w:pPr>
        <w:pStyle w:val="Textonotapie"/>
        <w:jc w:val="both"/>
        <w:rPr>
          <w:rFonts w:ascii="Tahoma" w:hAnsi="Tahoma" w:cs="Tahoma"/>
          <w:sz w:val="18"/>
          <w:szCs w:val="18"/>
        </w:rPr>
      </w:pPr>
      <w:r w:rsidRPr="006C1DA7">
        <w:rPr>
          <w:rStyle w:val="Refdenotaalpie"/>
          <w:rFonts w:ascii="Tahoma" w:hAnsi="Tahoma" w:cs="Tahoma"/>
          <w:sz w:val="18"/>
          <w:szCs w:val="18"/>
        </w:rPr>
        <w:footnoteRef/>
      </w:r>
      <w:r w:rsidRPr="006C1DA7">
        <w:rPr>
          <w:rFonts w:ascii="Tahoma" w:hAnsi="Tahoma" w:cs="Tahoma"/>
          <w:sz w:val="18"/>
          <w:szCs w:val="18"/>
        </w:rPr>
        <w:t xml:space="preserve"> </w:t>
      </w:r>
      <w:r>
        <w:rPr>
          <w:i/>
        </w:rPr>
        <w:t xml:space="preserve">Fundamento № 21 de la </w:t>
      </w:r>
      <w:r w:rsidRPr="00AC769F">
        <w:rPr>
          <w:i/>
        </w:rPr>
        <w:t>Sentencia recaída en el Expediente № 3741-2007-PA/TC (Caso Salazar Yarlenque</w:t>
      </w:r>
      <w:r>
        <w:rPr>
          <w:i/>
        </w:rPr>
        <w:t xml:space="preserve"> - Municipalidad de Surquillo).</w:t>
      </w:r>
    </w:p>
    <w:p w:rsidR="005B2A46" w:rsidRPr="006C1DA7" w:rsidRDefault="005B2A46" w:rsidP="005B2A46">
      <w:pPr>
        <w:pStyle w:val="Textonotapie"/>
        <w:jc w:val="both"/>
        <w:rPr>
          <w:rFonts w:ascii="Tahoma" w:hAnsi="Tahoma" w:cs="Tahoma"/>
          <w:sz w:val="18"/>
          <w:szCs w:val="18"/>
        </w:rPr>
      </w:pPr>
    </w:p>
  </w:footnote>
  <w:footnote w:id="4">
    <w:p w:rsidR="005B2A46" w:rsidRPr="007B2B5E" w:rsidRDefault="005B2A46" w:rsidP="005B2A46">
      <w:pPr>
        <w:pStyle w:val="Textonotapie"/>
        <w:jc w:val="both"/>
        <w:rPr>
          <w:rFonts w:ascii="Tahoma" w:hAnsi="Tahoma" w:cs="Tahoma"/>
          <w:sz w:val="16"/>
          <w:szCs w:val="16"/>
        </w:rPr>
      </w:pPr>
      <w:r w:rsidRPr="007B2B5E">
        <w:rPr>
          <w:rStyle w:val="Refdenotaalpie"/>
          <w:rFonts w:ascii="Tahoma" w:hAnsi="Tahoma" w:cs="Tahoma"/>
          <w:sz w:val="16"/>
          <w:szCs w:val="16"/>
        </w:rPr>
        <w:footnoteRef/>
      </w:r>
      <w:r w:rsidRPr="007B2B5E">
        <w:rPr>
          <w:rFonts w:ascii="Tahoma" w:hAnsi="Tahoma" w:cs="Tahoma"/>
          <w:sz w:val="16"/>
          <w:szCs w:val="16"/>
        </w:rPr>
        <w:t xml:space="preserve"> </w:t>
      </w:r>
      <w:r w:rsidRPr="007B2B5E">
        <w:rPr>
          <w:rFonts w:ascii="Tahoma" w:hAnsi="Tahoma" w:cs="Tahoma"/>
          <w:b/>
          <w:sz w:val="16"/>
          <w:szCs w:val="16"/>
        </w:rPr>
        <w:t>Artículo 3.- Requisitos de validez de los actos administrativos</w:t>
      </w:r>
    </w:p>
    <w:p w:rsidR="005B2A46" w:rsidRPr="007B2B5E" w:rsidRDefault="005B2A46" w:rsidP="005B2A46">
      <w:pPr>
        <w:pStyle w:val="Textonotapie"/>
        <w:jc w:val="both"/>
        <w:rPr>
          <w:rFonts w:ascii="Tahoma" w:hAnsi="Tahoma" w:cs="Tahoma"/>
          <w:sz w:val="16"/>
          <w:szCs w:val="16"/>
        </w:rPr>
      </w:pPr>
      <w:r w:rsidRPr="007B2B5E">
        <w:rPr>
          <w:rFonts w:ascii="Tahoma" w:hAnsi="Tahoma" w:cs="Tahoma"/>
          <w:sz w:val="16"/>
          <w:szCs w:val="16"/>
        </w:rPr>
        <w:t>Son requisitos de validez de los actos administrativos:</w:t>
      </w:r>
    </w:p>
    <w:p w:rsidR="005B2A46" w:rsidRPr="007B2B5E" w:rsidRDefault="005B2A46" w:rsidP="005B2A46">
      <w:pPr>
        <w:pStyle w:val="Textonotapie"/>
        <w:jc w:val="both"/>
        <w:rPr>
          <w:rFonts w:ascii="Tahoma" w:hAnsi="Tahoma" w:cs="Tahoma"/>
          <w:sz w:val="16"/>
          <w:szCs w:val="16"/>
        </w:rPr>
      </w:pPr>
      <w:r w:rsidRPr="007B2B5E">
        <w:rPr>
          <w:rFonts w:ascii="Tahoma" w:hAnsi="Tahoma" w:cs="Tahoma"/>
          <w:sz w:val="16"/>
          <w:szCs w:val="16"/>
        </w:rPr>
        <w:t>[…]</w:t>
      </w:r>
    </w:p>
    <w:p w:rsidR="005B2A46" w:rsidRPr="007B2B5E" w:rsidRDefault="005B2A46" w:rsidP="005B2A46">
      <w:pPr>
        <w:pStyle w:val="Textonotapie"/>
        <w:jc w:val="both"/>
        <w:rPr>
          <w:rFonts w:ascii="Tahoma" w:hAnsi="Tahoma" w:cs="Tahoma"/>
          <w:sz w:val="16"/>
          <w:szCs w:val="16"/>
        </w:rPr>
      </w:pPr>
      <w:r w:rsidRPr="007B2B5E">
        <w:rPr>
          <w:rFonts w:ascii="Tahoma" w:hAnsi="Tahoma" w:cs="Tahoma"/>
          <w:sz w:val="16"/>
          <w:szCs w:val="16"/>
        </w:rPr>
        <w:t>5. Procedimiento regular.- Antes de su emisión, el acto debe ser conformado mediante el cumplimiento del procedimiento administrativo previsto para su generación.</w:t>
      </w:r>
    </w:p>
    <w:p w:rsidR="005B2A46" w:rsidRPr="007B2B5E" w:rsidRDefault="005B2A46" w:rsidP="005B2A46">
      <w:pPr>
        <w:pStyle w:val="Textonotapie"/>
        <w:jc w:val="both"/>
        <w:rPr>
          <w:rFonts w:ascii="Tahoma" w:hAnsi="Tahoma" w:cs="Tahoma"/>
          <w:b/>
          <w:sz w:val="16"/>
          <w:szCs w:val="16"/>
        </w:rPr>
      </w:pPr>
      <w:r w:rsidRPr="007B2B5E">
        <w:rPr>
          <w:rFonts w:ascii="Tahoma" w:hAnsi="Tahoma" w:cs="Tahoma"/>
          <w:b/>
          <w:sz w:val="16"/>
          <w:szCs w:val="16"/>
        </w:rPr>
        <w:t>Artículo 10.- Causales de nulidad</w:t>
      </w:r>
    </w:p>
    <w:p w:rsidR="005B2A46" w:rsidRPr="007B2B5E" w:rsidRDefault="005B2A46" w:rsidP="005B2A46">
      <w:pPr>
        <w:pStyle w:val="Textonotapie"/>
        <w:jc w:val="both"/>
        <w:rPr>
          <w:rFonts w:ascii="Tahoma" w:hAnsi="Tahoma" w:cs="Tahoma"/>
          <w:sz w:val="16"/>
          <w:szCs w:val="16"/>
        </w:rPr>
      </w:pPr>
      <w:r w:rsidRPr="007B2B5E">
        <w:rPr>
          <w:rFonts w:ascii="Tahoma" w:hAnsi="Tahoma" w:cs="Tahoma"/>
          <w:sz w:val="16"/>
          <w:szCs w:val="16"/>
        </w:rPr>
        <w:t>Son vicios del acto administrativo, que causan su nulidad de pleno derecho, los siguientes:</w:t>
      </w:r>
    </w:p>
    <w:p w:rsidR="005B2A46" w:rsidRPr="007B2B5E" w:rsidRDefault="005B2A46" w:rsidP="005B2A46">
      <w:pPr>
        <w:pStyle w:val="Textonotapie"/>
        <w:numPr>
          <w:ilvl w:val="0"/>
          <w:numId w:val="11"/>
        </w:numPr>
        <w:ind w:left="284" w:hanging="284"/>
        <w:jc w:val="both"/>
        <w:rPr>
          <w:rFonts w:ascii="Tahoma" w:hAnsi="Tahoma" w:cs="Tahoma"/>
          <w:sz w:val="16"/>
          <w:szCs w:val="16"/>
        </w:rPr>
      </w:pPr>
      <w:r w:rsidRPr="007B2B5E">
        <w:rPr>
          <w:rFonts w:ascii="Tahoma" w:hAnsi="Tahoma" w:cs="Tahoma"/>
          <w:sz w:val="16"/>
          <w:szCs w:val="16"/>
        </w:rPr>
        <w:t>La contravención a la Constitución, a las leyes o a las normas reglamentarias.</w:t>
      </w:r>
    </w:p>
    <w:p w:rsidR="005B2A46" w:rsidRPr="007B2B5E" w:rsidRDefault="005B2A46" w:rsidP="005B2A46">
      <w:pPr>
        <w:pStyle w:val="Textonotapie"/>
        <w:numPr>
          <w:ilvl w:val="0"/>
          <w:numId w:val="11"/>
        </w:numPr>
        <w:ind w:left="284" w:hanging="284"/>
        <w:jc w:val="both"/>
        <w:rPr>
          <w:rFonts w:ascii="Tahoma" w:hAnsi="Tahoma" w:cs="Tahoma"/>
          <w:sz w:val="16"/>
          <w:szCs w:val="16"/>
        </w:rPr>
      </w:pPr>
      <w:r w:rsidRPr="007B2B5E">
        <w:rPr>
          <w:rFonts w:ascii="Tahoma" w:hAnsi="Tahoma" w:cs="Tahoma"/>
          <w:sz w:val="16"/>
          <w:szCs w:val="16"/>
        </w:rPr>
        <w:t>El defecto o la omisión de alguno de sus requisitos de validez, salvo que se presente alguno de los supuestos de conservación del acto a que se refiere el artículo 14.</w:t>
      </w:r>
    </w:p>
    <w:p w:rsidR="005B2A46" w:rsidRPr="00C90F01" w:rsidRDefault="005B2A46" w:rsidP="005B2A46">
      <w:pPr>
        <w:pStyle w:val="Textonotapie"/>
        <w:ind w:left="284"/>
        <w:jc w:val="both"/>
        <w:rPr>
          <w:i/>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71C" w:rsidRDefault="002E271C" w:rsidP="002E271C">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2"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2E271C" w:rsidRDefault="002E271C" w:rsidP="002E271C">
    <w:pPr>
      <w:pStyle w:val="Encabezado"/>
      <w:rPr>
        <w:noProof/>
      </w:rPr>
    </w:pPr>
  </w:p>
  <w:p w:rsidR="002E271C" w:rsidRDefault="002E271C" w:rsidP="002E271C">
    <w:pPr>
      <w:pStyle w:val="Encabezado"/>
      <w:jc w:val="center"/>
      <w:rPr>
        <w:rFonts w:ascii="Monotype Corsiva" w:hAnsi="Monotype Corsiva"/>
        <w:b/>
        <w:sz w:val="44"/>
        <w:szCs w:val="44"/>
      </w:rPr>
    </w:pPr>
  </w:p>
  <w:p w:rsidR="002E271C" w:rsidRDefault="002E271C" w:rsidP="002E271C">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1191-2011-TC-S1</w:t>
    </w:r>
  </w:p>
  <w:p w:rsidR="002E271C" w:rsidRDefault="002E271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85A4499E"/>
    <w:lvl w:ilvl="0" w:tplc="B78E665A">
      <w:start w:val="1"/>
      <w:numFmt w:val="decimal"/>
      <w:lvlText w:val="%1."/>
      <w:lvlJc w:val="left"/>
      <w:pPr>
        <w:ind w:left="720" w:hanging="360"/>
      </w:pPr>
      <w:rPr>
        <w:rFonts w:ascii="Tahoma" w:hAnsi="Tahoma" w:cs="Tahoma" w:hint="default"/>
        <w:b/>
        <w:i w:val="0"/>
        <w:sz w:val="20"/>
        <w:szCs w:val="2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232456E8"/>
    <w:multiLevelType w:val="hybridMultilevel"/>
    <w:tmpl w:val="981AC1CC"/>
    <w:lvl w:ilvl="0" w:tplc="4B0A20F0">
      <w:start w:val="1"/>
      <w:numFmt w:val="decimal"/>
      <w:lvlText w:val="%1."/>
      <w:lvlJc w:val="left"/>
      <w:pPr>
        <w:ind w:left="360" w:hanging="360"/>
      </w:pPr>
      <w:rPr>
        <w:rFonts w:hint="default"/>
        <w:b/>
        <w:sz w:val="20"/>
        <w:szCs w:val="2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2D81651B"/>
    <w:multiLevelType w:val="hybridMultilevel"/>
    <w:tmpl w:val="372054D4"/>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nsid w:val="32466705"/>
    <w:multiLevelType w:val="multilevel"/>
    <w:tmpl w:val="33B89EAC"/>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8DD31EB"/>
    <w:multiLevelType w:val="hybridMultilevel"/>
    <w:tmpl w:val="083E7862"/>
    <w:lvl w:ilvl="0" w:tplc="B6CC3C34">
      <w:start w:val="1"/>
      <w:numFmt w:val="decimal"/>
      <w:lvlText w:val="%1."/>
      <w:lvlJc w:val="left"/>
      <w:pPr>
        <w:ind w:left="1260" w:hanging="360"/>
      </w:pPr>
      <w:rPr>
        <w:rFonts w:hint="default"/>
        <w:b/>
      </w:r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5">
    <w:nsid w:val="3AFB5C81"/>
    <w:multiLevelType w:val="hybridMultilevel"/>
    <w:tmpl w:val="6CF42746"/>
    <w:lvl w:ilvl="0" w:tplc="3138BDA4">
      <w:start w:val="1"/>
      <w:numFmt w:val="lowerLetter"/>
      <w:lvlText w:val="%1)"/>
      <w:lvlJc w:val="left"/>
      <w:pPr>
        <w:ind w:left="786" w:hanging="360"/>
      </w:pPr>
      <w:rPr>
        <w:rFonts w:ascii="Tahoma" w:eastAsia="Calibri" w:hAnsi="Tahoma" w:cs="Tahoma"/>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6">
    <w:nsid w:val="43E60EAE"/>
    <w:multiLevelType w:val="hybridMultilevel"/>
    <w:tmpl w:val="F7366BC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47B8113D"/>
    <w:multiLevelType w:val="hybridMultilevel"/>
    <w:tmpl w:val="8E6C56A2"/>
    <w:lvl w:ilvl="0" w:tplc="0F86F32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8">
    <w:nsid w:val="58AD39C9"/>
    <w:multiLevelType w:val="hybridMultilevel"/>
    <w:tmpl w:val="BAA27916"/>
    <w:lvl w:ilvl="0" w:tplc="265E49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9">
    <w:nsid w:val="5A4721B8"/>
    <w:multiLevelType w:val="hybridMultilevel"/>
    <w:tmpl w:val="A61C21DE"/>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0">
    <w:nsid w:val="796574BD"/>
    <w:multiLevelType w:val="hybridMultilevel"/>
    <w:tmpl w:val="6E8E98AC"/>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7"/>
  </w:num>
  <w:num w:numId="4">
    <w:abstractNumId w:val="1"/>
  </w:num>
  <w:num w:numId="5">
    <w:abstractNumId w:val="5"/>
  </w:num>
  <w:num w:numId="6">
    <w:abstractNumId w:val="8"/>
  </w:num>
  <w:num w:numId="7">
    <w:abstractNumId w:val="10"/>
  </w:num>
  <w:num w:numId="8">
    <w:abstractNumId w:val="9"/>
  </w:num>
  <w:num w:numId="9">
    <w:abstractNumId w:val="2"/>
  </w:num>
  <w:num w:numId="10">
    <w:abstractNumId w:val="4"/>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5B2A46"/>
    <w:rsid w:val="00004600"/>
    <w:rsid w:val="00102525"/>
    <w:rsid w:val="00155C47"/>
    <w:rsid w:val="00196655"/>
    <w:rsid w:val="002E271C"/>
    <w:rsid w:val="003B3C09"/>
    <w:rsid w:val="003D0A56"/>
    <w:rsid w:val="00496AD0"/>
    <w:rsid w:val="005B2A46"/>
    <w:rsid w:val="006165E6"/>
    <w:rsid w:val="006F1524"/>
    <w:rsid w:val="007F0E1F"/>
    <w:rsid w:val="00843864"/>
    <w:rsid w:val="00885556"/>
    <w:rsid w:val="009E0F4C"/>
    <w:rsid w:val="00A52E6E"/>
    <w:rsid w:val="00AD703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A46"/>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5B2A46"/>
    <w:pPr>
      <w:spacing w:after="120"/>
    </w:pPr>
    <w:rPr>
      <w:sz w:val="16"/>
      <w:szCs w:val="16"/>
      <w:lang w:val="es-PE"/>
    </w:rPr>
  </w:style>
  <w:style w:type="character" w:customStyle="1" w:styleId="Textoindependiente3Car">
    <w:name w:val="Texto independiente 3 Car"/>
    <w:basedOn w:val="Fuentedeprrafopredeter"/>
    <w:link w:val="Textoindependiente3"/>
    <w:rsid w:val="005B2A46"/>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5B2A46"/>
    <w:pPr>
      <w:jc w:val="both"/>
    </w:pPr>
    <w:rPr>
      <w:rFonts w:ascii="Tahoma" w:hAnsi="Tahoma"/>
      <w:sz w:val="22"/>
      <w:szCs w:val="20"/>
    </w:rPr>
  </w:style>
  <w:style w:type="paragraph" w:styleId="Prrafodelista">
    <w:name w:val="List Paragraph"/>
    <w:basedOn w:val="Normal"/>
    <w:uiPriority w:val="34"/>
    <w:qFormat/>
    <w:rsid w:val="005B2A46"/>
    <w:pPr>
      <w:widowControl w:val="0"/>
      <w:suppressAutoHyphens/>
      <w:ind w:left="708"/>
    </w:pPr>
    <w:rPr>
      <w:szCs w:val="20"/>
      <w:lang w:val="es-ES_tradnl"/>
    </w:rPr>
  </w:style>
  <w:style w:type="paragraph" w:styleId="Piedepgina">
    <w:name w:val="footer"/>
    <w:basedOn w:val="Normal"/>
    <w:link w:val="PiedepginaCar"/>
    <w:uiPriority w:val="99"/>
    <w:unhideWhenUsed/>
    <w:rsid w:val="005B2A46"/>
    <w:pPr>
      <w:tabs>
        <w:tab w:val="center" w:pos="4252"/>
        <w:tab w:val="right" w:pos="8504"/>
      </w:tabs>
    </w:pPr>
  </w:style>
  <w:style w:type="character" w:customStyle="1" w:styleId="PiedepginaCar">
    <w:name w:val="Pie de página Car"/>
    <w:basedOn w:val="Fuentedeprrafopredeter"/>
    <w:link w:val="Piedepgina"/>
    <w:uiPriority w:val="99"/>
    <w:rsid w:val="005B2A46"/>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 Car2 Car1 Car, Car Car Car, Car1,Car1 Car Car,Car1 Car,Texto independiente2"/>
    <w:basedOn w:val="Normal"/>
    <w:link w:val="TextonotapieCar"/>
    <w:uiPriority w:val="99"/>
    <w:rsid w:val="005B2A46"/>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 Car1 Car1"/>
    <w:basedOn w:val="Fuentedeprrafopredeter"/>
    <w:link w:val="Textonotapie"/>
    <w:uiPriority w:val="99"/>
    <w:rsid w:val="005B2A46"/>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5B2A46"/>
    <w:rPr>
      <w:rFonts w:cs="Times New Roman"/>
      <w:vertAlign w:val="superscript"/>
    </w:rPr>
  </w:style>
  <w:style w:type="paragraph" w:styleId="Lista3">
    <w:name w:val="List 3"/>
    <w:basedOn w:val="Normal"/>
    <w:uiPriority w:val="99"/>
    <w:unhideWhenUsed/>
    <w:rsid w:val="005B2A46"/>
    <w:pPr>
      <w:spacing w:after="200" w:line="276" w:lineRule="auto"/>
      <w:ind w:left="849" w:hanging="283"/>
      <w:contextualSpacing/>
    </w:pPr>
    <w:rPr>
      <w:rFonts w:ascii="Calibri" w:eastAsia="Calibri" w:hAnsi="Calibri"/>
      <w:sz w:val="22"/>
      <w:szCs w:val="22"/>
      <w:lang w:eastAsia="en-US"/>
    </w:rPr>
  </w:style>
  <w:style w:type="paragraph" w:styleId="Sinespaciado">
    <w:name w:val="No Spacing"/>
    <w:uiPriority w:val="1"/>
    <w:qFormat/>
    <w:rsid w:val="005B2A46"/>
    <w:pPr>
      <w:spacing w:after="0" w:line="240" w:lineRule="auto"/>
    </w:pPr>
    <w:rPr>
      <w:rFonts w:ascii="Calibri" w:eastAsia="Times New Roman" w:hAnsi="Calibri" w:cs="Times New Roman"/>
      <w:lang w:eastAsia="es-ES"/>
    </w:rPr>
  </w:style>
  <w:style w:type="character" w:styleId="Textoennegrita">
    <w:name w:val="Strong"/>
    <w:basedOn w:val="Fuentedeprrafopredeter"/>
    <w:uiPriority w:val="22"/>
    <w:qFormat/>
    <w:rsid w:val="005B2A46"/>
    <w:rPr>
      <w:b/>
      <w:bCs/>
    </w:rPr>
  </w:style>
  <w:style w:type="character" w:styleId="Hipervnculo">
    <w:name w:val="Hyperlink"/>
    <w:basedOn w:val="Fuentedeprrafopredeter"/>
    <w:uiPriority w:val="99"/>
    <w:semiHidden/>
    <w:unhideWhenUsed/>
    <w:rsid w:val="005B2A46"/>
    <w:rPr>
      <w:color w:val="0000FF"/>
      <w:u w:val="single"/>
    </w:rPr>
  </w:style>
  <w:style w:type="paragraph" w:styleId="Textoindependiente">
    <w:name w:val="Body Text"/>
    <w:basedOn w:val="Normal"/>
    <w:link w:val="TextoindependienteCar"/>
    <w:uiPriority w:val="99"/>
    <w:semiHidden/>
    <w:unhideWhenUsed/>
    <w:rsid w:val="005B2A46"/>
    <w:pPr>
      <w:widowControl w:val="0"/>
      <w:suppressAutoHyphens/>
      <w:spacing w:after="120"/>
    </w:pPr>
    <w:rPr>
      <w:szCs w:val="20"/>
      <w:lang w:val="es-ES_tradnl"/>
    </w:rPr>
  </w:style>
  <w:style w:type="character" w:customStyle="1" w:styleId="TextoindependienteCar">
    <w:name w:val="Texto independiente Car"/>
    <w:basedOn w:val="Fuentedeprrafopredeter"/>
    <w:link w:val="Textoindependiente"/>
    <w:uiPriority w:val="99"/>
    <w:semiHidden/>
    <w:rsid w:val="005B2A46"/>
    <w:rPr>
      <w:rFonts w:ascii="Times New Roman" w:eastAsia="Times New Roman" w:hAnsi="Times New Roman" w:cs="Times New Roman"/>
      <w:sz w:val="24"/>
      <w:szCs w:val="20"/>
      <w:lang w:val="es-ES_tradnl" w:eastAsia="es-ES"/>
    </w:rPr>
  </w:style>
  <w:style w:type="paragraph" w:styleId="Textodeglobo">
    <w:name w:val="Balloon Text"/>
    <w:basedOn w:val="Normal"/>
    <w:link w:val="TextodegloboCar"/>
    <w:uiPriority w:val="99"/>
    <w:semiHidden/>
    <w:unhideWhenUsed/>
    <w:rsid w:val="005B2A46"/>
    <w:rPr>
      <w:rFonts w:ascii="Tahoma" w:hAnsi="Tahoma" w:cs="Tahoma"/>
      <w:sz w:val="16"/>
      <w:szCs w:val="16"/>
    </w:rPr>
  </w:style>
  <w:style w:type="character" w:customStyle="1" w:styleId="TextodegloboCar">
    <w:name w:val="Texto de globo Car"/>
    <w:basedOn w:val="Fuentedeprrafopredeter"/>
    <w:link w:val="Textodeglobo"/>
    <w:uiPriority w:val="99"/>
    <w:semiHidden/>
    <w:rsid w:val="005B2A46"/>
    <w:rPr>
      <w:rFonts w:ascii="Tahoma" w:eastAsia="Times New Roman" w:hAnsi="Tahoma" w:cs="Tahoma"/>
      <w:sz w:val="16"/>
      <w:szCs w:val="16"/>
      <w:lang w:eastAsia="es-ES"/>
    </w:rPr>
  </w:style>
  <w:style w:type="paragraph" w:styleId="Encabezado">
    <w:name w:val="header"/>
    <w:aliases w:val="maria,h"/>
    <w:basedOn w:val="Normal"/>
    <w:link w:val="EncabezadoCar"/>
    <w:uiPriority w:val="99"/>
    <w:semiHidden/>
    <w:unhideWhenUsed/>
    <w:rsid w:val="002E271C"/>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2E271C"/>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87295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13</Pages>
  <Words>5304</Words>
  <Characters>29177</Characters>
  <Application>Microsoft Office Word</Application>
  <DocSecurity>0</DocSecurity>
  <Lines>243</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6</cp:revision>
  <cp:lastPrinted>2011-07-08T15:20:00Z</cp:lastPrinted>
  <dcterms:created xsi:type="dcterms:W3CDTF">2011-07-06T15:37:00Z</dcterms:created>
  <dcterms:modified xsi:type="dcterms:W3CDTF">2011-08-18T14:42:00Z</dcterms:modified>
</cp:coreProperties>
</file>